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6362C71" w14:textId="77777777" w:rsidR="00540736" w:rsidRPr="006F38E6" w:rsidRDefault="00540736" w:rsidP="00D440F5">
      <w:pPr>
        <w:tabs>
          <w:tab w:val="left" w:pos="6096"/>
        </w:tabs>
        <w:jc w:val="center"/>
        <w:rPr>
          <w:rFonts w:asciiTheme="minorHAnsi" w:hAnsiTheme="minorHAnsi" w:cstheme="minorHAnsi"/>
          <w:b/>
          <w:bCs/>
          <w:szCs w:val="22"/>
        </w:rPr>
      </w:pPr>
    </w:p>
    <w:p w14:paraId="1753F166" w14:textId="77777777" w:rsidR="00540736" w:rsidRPr="006F38E6" w:rsidRDefault="00540736" w:rsidP="00D440F5">
      <w:pPr>
        <w:tabs>
          <w:tab w:val="left" w:pos="6096"/>
        </w:tabs>
        <w:jc w:val="center"/>
        <w:rPr>
          <w:rFonts w:asciiTheme="minorHAnsi" w:hAnsiTheme="minorHAnsi" w:cstheme="minorHAnsi"/>
          <w:b/>
          <w:bCs/>
          <w:szCs w:val="22"/>
        </w:rPr>
      </w:pPr>
    </w:p>
    <w:p w14:paraId="0A60A3C2" w14:textId="77777777" w:rsidR="00540736" w:rsidRPr="006F38E6" w:rsidRDefault="00540736" w:rsidP="00D440F5">
      <w:pPr>
        <w:tabs>
          <w:tab w:val="left" w:pos="6096"/>
        </w:tabs>
        <w:jc w:val="center"/>
        <w:rPr>
          <w:rFonts w:asciiTheme="minorHAnsi" w:hAnsiTheme="minorHAnsi" w:cstheme="minorHAnsi"/>
          <w:b/>
          <w:bCs/>
          <w:szCs w:val="22"/>
        </w:rPr>
      </w:pPr>
    </w:p>
    <w:p w14:paraId="38770AD1" w14:textId="77777777" w:rsidR="00540736" w:rsidRPr="006F38E6" w:rsidRDefault="00540736" w:rsidP="00D440F5">
      <w:pPr>
        <w:tabs>
          <w:tab w:val="left" w:pos="6096"/>
        </w:tabs>
        <w:jc w:val="center"/>
        <w:rPr>
          <w:rFonts w:asciiTheme="minorHAnsi" w:hAnsiTheme="minorHAnsi" w:cstheme="minorHAnsi"/>
          <w:b/>
          <w:bCs/>
          <w:szCs w:val="22"/>
        </w:rPr>
      </w:pPr>
    </w:p>
    <w:p w14:paraId="49E6B663" w14:textId="77777777" w:rsidR="00540736" w:rsidRPr="006F38E6" w:rsidRDefault="00540736" w:rsidP="00D440F5">
      <w:pPr>
        <w:tabs>
          <w:tab w:val="left" w:pos="6096"/>
        </w:tabs>
        <w:jc w:val="center"/>
        <w:rPr>
          <w:rFonts w:asciiTheme="minorHAnsi" w:hAnsiTheme="minorHAnsi" w:cstheme="minorHAnsi"/>
          <w:b/>
          <w:bCs/>
          <w:szCs w:val="22"/>
        </w:rPr>
      </w:pPr>
    </w:p>
    <w:p w14:paraId="32EFD23A" w14:textId="77777777" w:rsidR="00540736" w:rsidRPr="006F38E6" w:rsidRDefault="00540736" w:rsidP="00D440F5">
      <w:pPr>
        <w:tabs>
          <w:tab w:val="left" w:pos="6096"/>
        </w:tabs>
        <w:jc w:val="center"/>
        <w:rPr>
          <w:rFonts w:asciiTheme="minorHAnsi" w:hAnsiTheme="minorHAnsi" w:cstheme="minorHAnsi"/>
          <w:b/>
          <w:bCs/>
          <w:szCs w:val="22"/>
        </w:rPr>
      </w:pPr>
    </w:p>
    <w:p w14:paraId="3560C1E1" w14:textId="77777777" w:rsidR="00540736" w:rsidRPr="006F38E6" w:rsidRDefault="00540736" w:rsidP="00D440F5">
      <w:pPr>
        <w:tabs>
          <w:tab w:val="left" w:pos="6096"/>
        </w:tabs>
        <w:jc w:val="center"/>
        <w:rPr>
          <w:rFonts w:asciiTheme="minorHAnsi" w:hAnsiTheme="minorHAnsi" w:cstheme="minorHAnsi"/>
          <w:b/>
          <w:bCs/>
          <w:szCs w:val="22"/>
        </w:rPr>
      </w:pPr>
    </w:p>
    <w:p w14:paraId="5BFAA12A" w14:textId="77777777" w:rsidR="00540736" w:rsidRPr="006F38E6" w:rsidRDefault="00540736" w:rsidP="00D440F5">
      <w:pPr>
        <w:tabs>
          <w:tab w:val="left" w:pos="6096"/>
        </w:tabs>
        <w:jc w:val="center"/>
        <w:rPr>
          <w:rFonts w:asciiTheme="minorHAnsi" w:hAnsiTheme="minorHAnsi" w:cstheme="minorHAnsi"/>
          <w:b/>
          <w:bCs/>
          <w:szCs w:val="22"/>
        </w:rPr>
      </w:pPr>
    </w:p>
    <w:p w14:paraId="3905AC96" w14:textId="77777777" w:rsidR="00540736" w:rsidRPr="006F38E6" w:rsidRDefault="00540736" w:rsidP="00D440F5">
      <w:pPr>
        <w:tabs>
          <w:tab w:val="left" w:pos="6096"/>
        </w:tabs>
        <w:jc w:val="center"/>
        <w:rPr>
          <w:rFonts w:asciiTheme="minorHAnsi" w:hAnsiTheme="minorHAnsi" w:cstheme="minorHAnsi"/>
          <w:b/>
          <w:bCs/>
          <w:szCs w:val="22"/>
        </w:rPr>
      </w:pPr>
    </w:p>
    <w:p w14:paraId="29BAD8A6" w14:textId="77777777" w:rsidR="00811B5A" w:rsidRDefault="00000000">
      <w:pPr>
        <w:spacing w:before="480" w:after="240"/>
        <w:jc w:val="center"/>
      </w:pPr>
      <w:r>
        <w:rPr>
          <w:noProof/>
        </w:rPr>
        <w:drawing>
          <wp:inline distT="0" distB="0" distL="0" distR="0" wp14:anchorId="567F0ADF" wp14:editId="62D0E25A">
            <wp:extent cx="4937760" cy="1429351"/>
            <wp:effectExtent l="0" t="0" r="0" b="0"/>
            <wp:docPr id="1" name="ESC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SCA logo"/>
                    <pic:cNvPicPr/>
                  </pic:nvPicPr>
                  <pic:blipFill>
                    <a:blip r:embed="rId11"/>
                    <a:stretch>
                      <a:fillRect/>
                    </a:stretch>
                  </pic:blipFill>
                  <pic:spPr>
                    <a:xfrm>
                      <a:off x="0" y="0"/>
                      <a:ext cx="4937760" cy="1429351"/>
                    </a:xfrm>
                    <a:prstGeom prst="rect">
                      <a:avLst/>
                    </a:prstGeom>
                  </pic:spPr>
                </pic:pic>
              </a:graphicData>
            </a:graphic>
          </wp:inline>
        </w:drawing>
      </w:r>
    </w:p>
    <w:p w14:paraId="00163033" w14:textId="77777777" w:rsidR="00540736" w:rsidRPr="006F38E6" w:rsidRDefault="0047362A" w:rsidP="00D440F5">
      <w:pPr>
        <w:tabs>
          <w:tab w:val="left" w:pos="6096"/>
        </w:tabs>
        <w:jc w:val="center"/>
        <w:rPr>
          <w:rFonts w:asciiTheme="minorHAnsi" w:hAnsiTheme="minorHAnsi" w:cstheme="minorHAnsi"/>
          <w:b/>
          <w:bCs/>
          <w:sz w:val="52"/>
          <w:szCs w:val="52"/>
        </w:rPr>
      </w:pPr>
      <w:r>
        <w:rPr>
          <w:rFonts w:asciiTheme="minorHAnsi" w:hAnsiTheme="minorHAnsi" w:cstheme="minorHAnsi"/>
          <w:b/>
          <w:bCs/>
          <w:sz w:val="52"/>
          <w:szCs w:val="52"/>
        </w:rPr>
        <w:t>BATTERY ENERGY STORAGE SYSTEM (BESS) SUPPLY &amp; PURCHASE AGREEMENT</w:t>
      </w:r>
    </w:p>
    <w:p w14:paraId="6E43CA79" w14:textId="77777777" w:rsidR="00811B5A" w:rsidRDefault="00000000">
      <w:pPr>
        <w:spacing w:before="120" w:after="60"/>
        <w:jc w:val="center"/>
      </w:pPr>
      <w:r>
        <w:rPr>
          <w:b/>
          <w:color w:val="185FA5"/>
          <w:sz w:val="26"/>
          <w:szCs w:val="26"/>
        </w:rPr>
        <w:t>Model BESS Supply &amp; Purchase Agreement — Version 1.2</w:t>
      </w:r>
    </w:p>
    <w:p w14:paraId="39BB7BC5" w14:textId="77777777" w:rsidR="00811B5A" w:rsidRDefault="00000000">
      <w:pPr>
        <w:spacing w:after="360"/>
        <w:jc w:val="center"/>
      </w:pPr>
      <w:r>
        <w:rPr>
          <w:color w:val="555555"/>
          <w:sz w:val="20"/>
        </w:rPr>
        <w:t>Maintained by the Energy Storage Contract Alliance (ESCA)</w:t>
      </w:r>
    </w:p>
    <w:p w14:paraId="688806C3" w14:textId="77777777" w:rsidR="00811B5A" w:rsidRDefault="00000000">
      <w:pPr>
        <w:spacing w:before="240" w:after="100"/>
        <w:jc w:val="center"/>
      </w:pPr>
      <w:r>
        <w:rPr>
          <w:b/>
          <w:caps/>
          <w:color w:val="0C1F35"/>
          <w:spacing w:val="20"/>
          <w:sz w:val="20"/>
        </w:rPr>
        <w:t>IMPORTANT NOTICE &amp; DISCLAIMER</w:t>
      </w:r>
    </w:p>
    <w:p w14:paraId="45784AA5" w14:textId="77777777" w:rsidR="00811B5A" w:rsidRDefault="00000000">
      <w:pPr>
        <w:spacing w:after="100"/>
        <w:jc w:val="both"/>
      </w:pPr>
      <w:r>
        <w:rPr>
          <w:color w:val="444444"/>
          <w:sz w:val="18"/>
          <w:szCs w:val="18"/>
        </w:rPr>
        <w:t>This document is the ESCA Model Battery Energy Storage System (BESS) Supply &amp; Purchase Agreement, a reference contract template maintained by the Energy Storage Contract Alliance. It is provided for general informational purposes only and is drafted from a buyer-side perspective.</w:t>
      </w:r>
    </w:p>
    <w:p w14:paraId="32D473AF" w14:textId="3CF9516A" w:rsidR="00811B5A" w:rsidRDefault="00000000">
      <w:pPr>
        <w:spacing w:after="100"/>
        <w:jc w:val="both"/>
      </w:pPr>
      <w:r>
        <w:rPr>
          <w:color w:val="444444"/>
          <w:sz w:val="18"/>
          <w:szCs w:val="18"/>
        </w:rPr>
        <w:t>This template does not constitute legal, technical, financial or tax advice, and its use does not create a lawyer-client or advisory relationship. ESCA’s antitrust policy applies to all ESCA activities and is available at escabattery.org/antitrust. Parties should obtain independent professional advice and adapt the template to the facts, governing law and commercial terms of their specific transaction before execution. ESCA makes no representation or warranty, express or implied, as to the accuracy, completeness, suitability or fitness for any particular purpose of this document, and accepts no liability for any loss arising from its use.</w:t>
      </w:r>
    </w:p>
    <w:p w14:paraId="1B66CEF4" w14:textId="77777777" w:rsidR="00811B5A" w:rsidRDefault="00000000">
      <w:pPr>
        <w:spacing w:after="100"/>
        <w:jc w:val="both"/>
      </w:pPr>
      <w:r>
        <w:rPr>
          <w:color w:val="444444"/>
          <w:sz w:val="18"/>
          <w:szCs w:val="18"/>
        </w:rPr>
        <w:t>The ESCA model contract is proprietary to ESCA. The publicly readable clauses may be reviewed without charge. The appendices, technical specifications, test procedures and schedules are available to registered ESCA members and are subject to the terms of the ESCA Membership Agreement. Redistribution or resale of the appendices is not permitted.</w:t>
      </w:r>
    </w:p>
    <w:p w14:paraId="521E19F7" w14:textId="77777777" w:rsidR="009E333E" w:rsidRDefault="00000000">
      <w:pPr>
        <w:spacing w:after="120"/>
        <w:jc w:val="both"/>
        <w:rPr>
          <w:rFonts w:asciiTheme="minorHAnsi" w:hAnsiTheme="minorHAnsi" w:cstheme="minorHAnsi"/>
          <w:szCs w:val="22"/>
        </w:rPr>
      </w:pPr>
      <w:r>
        <w:rPr>
          <w:rFonts w:asciiTheme="minorHAnsi" w:hAnsiTheme="minorHAnsi" w:cstheme="minorHAnsi"/>
          <w:i/>
          <w:iCs/>
          <w:szCs w:val="22"/>
        </w:rPr>
        <w:t xml:space="preserve">Reading guide: text highlighted in cyan is a cross-reference to an Appendix (for example </w:t>
      </w:r>
      <w:r>
        <w:rPr>
          <w:rFonts w:asciiTheme="minorHAnsi" w:hAnsiTheme="minorHAnsi" w:cstheme="minorHAnsi"/>
          <w:i/>
          <w:iCs/>
          <w:szCs w:val="22"/>
          <w:highlight w:val="cyan"/>
        </w:rPr>
        <w:t>APPENDIX B</w:t>
      </w:r>
      <w:r>
        <w:rPr>
          <w:rFonts w:asciiTheme="minorHAnsi" w:hAnsiTheme="minorHAnsi" w:cstheme="minorHAnsi"/>
          <w:i/>
          <w:iCs/>
          <w:szCs w:val="22"/>
        </w:rPr>
        <w:t xml:space="preserve">); text highlighted in yellow is a project-specific item to be completed before signature (for example the </w:t>
      </w:r>
      <w:r>
        <w:rPr>
          <w:rFonts w:asciiTheme="minorHAnsi" w:hAnsiTheme="minorHAnsi" w:cstheme="minorHAnsi"/>
          <w:i/>
          <w:iCs/>
          <w:szCs w:val="22"/>
          <w:highlight w:val="yellow"/>
        </w:rPr>
        <w:t>Named Place of Destination</w:t>
      </w:r>
      <w:r>
        <w:rPr>
          <w:rFonts w:asciiTheme="minorHAnsi" w:hAnsiTheme="minorHAnsi" w:cstheme="minorHAnsi"/>
          <w:i/>
          <w:iCs/>
          <w:szCs w:val="22"/>
        </w:rPr>
        <w:t xml:space="preserve"> or </w:t>
      </w:r>
      <w:r>
        <w:rPr>
          <w:rFonts w:asciiTheme="minorHAnsi" w:hAnsiTheme="minorHAnsi" w:cstheme="minorHAnsi"/>
          <w:i/>
          <w:iCs/>
          <w:szCs w:val="22"/>
          <w:highlight w:val="yellow"/>
        </w:rPr>
        <w:t>[bracketed values]</w:t>
      </w:r>
      <w:r>
        <w:rPr>
          <w:rFonts w:asciiTheme="minorHAnsi" w:hAnsiTheme="minorHAnsi" w:cstheme="minorHAnsi"/>
          <w:i/>
          <w:iCs/>
          <w:szCs w:val="22"/>
        </w:rPr>
        <w:t>); text highlighted in green and in italics is a note for ESCA readers, to be deleted before the Agreement is issued to a counterparty. The Table of Contents updates automatically when the document is opened in Word (or right-click and Update Field).</w:t>
      </w:r>
    </w:p>
    <w:p w14:paraId="67D702D4" w14:textId="77777777" w:rsidR="00540736" w:rsidRPr="006F38E6" w:rsidRDefault="00540736">
      <w:pPr>
        <w:rPr>
          <w:rFonts w:asciiTheme="minorHAnsi" w:hAnsiTheme="minorHAnsi" w:cstheme="minorHAnsi"/>
          <w:b/>
          <w:bCs/>
          <w:szCs w:val="22"/>
        </w:rPr>
      </w:pPr>
      <w:r>
        <w:rPr>
          <w:rFonts w:asciiTheme="minorHAnsi" w:hAnsiTheme="minorHAnsi" w:cstheme="minorHAnsi"/>
          <w:b/>
          <w:bCs/>
          <w:szCs w:val="22"/>
        </w:rPr>
        <w:br w:type="page"/>
      </w:r>
    </w:p>
    <w:p w14:paraId="3E9460A6" w14:textId="77777777" w:rsidR="008B7506" w:rsidRPr="006F38E6" w:rsidRDefault="008B7506" w:rsidP="00D440F5">
      <w:pPr>
        <w:tabs>
          <w:tab w:val="left" w:pos="6096"/>
        </w:tabs>
        <w:jc w:val="center"/>
        <w:rPr>
          <w:rFonts w:asciiTheme="minorHAnsi" w:hAnsiTheme="minorHAnsi" w:cstheme="minorHAnsi"/>
          <w:b/>
          <w:bCs/>
          <w:spacing w:val="-1"/>
          <w:szCs w:val="22"/>
        </w:rPr>
      </w:pPr>
    </w:p>
    <w:p w14:paraId="5D4C8DC7" w14:textId="77777777" w:rsidR="007F417B" w:rsidRPr="006F38E6" w:rsidRDefault="008B3591" w:rsidP="00C726B8">
      <w:pPr>
        <w:pStyle w:val="Heading1"/>
        <w:jc w:val="left"/>
        <w:rPr>
          <w:rFonts w:asciiTheme="minorHAnsi" w:hAnsiTheme="minorHAnsi" w:cstheme="minorHAnsi"/>
        </w:rPr>
      </w:pPr>
      <w:bookmarkStart w:id="0" w:name="_Toc234395226"/>
      <w:bookmarkStart w:id="1" w:name="_Toc242471390"/>
      <w:r>
        <w:rPr>
          <w:rFonts w:asciiTheme="minorHAnsi" w:hAnsiTheme="minorHAnsi" w:cstheme="minorHAnsi"/>
        </w:rPr>
        <w:t>Table of Contents</w:t>
      </w:r>
      <w:bookmarkEnd w:id="0"/>
      <w:bookmarkEnd w:id="1"/>
    </w:p>
    <w:p w14:paraId="1199DEAA" w14:textId="1C39DE7B" w:rsidR="00CE5620" w:rsidRDefault="00000000">
      <w:pPr>
        <w:pStyle w:val="TOC1"/>
        <w:rPr>
          <w:rFonts w:asciiTheme="minorHAnsi" w:eastAsiaTheme="minorEastAsia" w:hAnsiTheme="minorHAnsi" w:cstheme="minorBidi"/>
          <w:noProof/>
          <w:kern w:val="2"/>
          <w:sz w:val="24"/>
          <w:szCs w:val="24"/>
          <w:lang w:val="en-CH" w:eastAsia="zh-CN"/>
          <w14:ligatures w14:val="standardContextual"/>
        </w:rPr>
      </w:pPr>
      <w:r>
        <w:fldChar w:fldCharType="begin"/>
      </w:r>
      <w:r>
        <w:instrText xml:space="preserve"> TOC \o "1-1" \h \z \u </w:instrText>
      </w:r>
      <w:r>
        <w:fldChar w:fldCharType="separate"/>
      </w:r>
      <w:hyperlink w:anchor="_Toc242471390" w:history="1">
        <w:r w:rsidR="00CE5620" w:rsidRPr="00FF2D45">
          <w:rPr>
            <w:rStyle w:val="Hyperlink"/>
            <w:rFonts w:cstheme="minorHAnsi"/>
            <w:noProof/>
          </w:rPr>
          <w:t>Table of Contents</w:t>
        </w:r>
        <w:r w:rsidR="00CE5620">
          <w:rPr>
            <w:noProof/>
            <w:webHidden/>
          </w:rPr>
          <w:tab/>
        </w:r>
        <w:r w:rsidR="00CE5620">
          <w:rPr>
            <w:noProof/>
            <w:webHidden/>
          </w:rPr>
          <w:fldChar w:fldCharType="begin"/>
        </w:r>
        <w:r w:rsidR="00CE5620">
          <w:rPr>
            <w:noProof/>
            <w:webHidden/>
          </w:rPr>
          <w:instrText xml:space="preserve"> PAGEREF _Toc242471390 \h </w:instrText>
        </w:r>
        <w:r w:rsidR="00CE5620">
          <w:rPr>
            <w:noProof/>
            <w:webHidden/>
          </w:rPr>
        </w:r>
        <w:r w:rsidR="00CE5620">
          <w:rPr>
            <w:noProof/>
            <w:webHidden/>
          </w:rPr>
          <w:fldChar w:fldCharType="separate"/>
        </w:r>
        <w:r w:rsidR="00CE5620">
          <w:rPr>
            <w:noProof/>
            <w:webHidden/>
          </w:rPr>
          <w:t>2</w:t>
        </w:r>
        <w:r w:rsidR="00CE5620">
          <w:rPr>
            <w:noProof/>
            <w:webHidden/>
          </w:rPr>
          <w:fldChar w:fldCharType="end"/>
        </w:r>
      </w:hyperlink>
    </w:p>
    <w:p w14:paraId="56FFCBAA" w14:textId="1BDCFAE0" w:rsidR="00CE5620" w:rsidRDefault="00CE5620">
      <w:pPr>
        <w:pStyle w:val="TOC1"/>
        <w:rPr>
          <w:rFonts w:asciiTheme="minorHAnsi" w:eastAsiaTheme="minorEastAsia" w:hAnsiTheme="minorHAnsi" w:cstheme="minorBidi"/>
          <w:noProof/>
          <w:kern w:val="2"/>
          <w:sz w:val="24"/>
          <w:szCs w:val="24"/>
          <w:lang w:val="en-CH" w:eastAsia="zh-CN"/>
          <w14:ligatures w14:val="standardContextual"/>
        </w:rPr>
      </w:pPr>
      <w:hyperlink w:anchor="_Toc242471391" w:history="1">
        <w:r w:rsidRPr="00FF2D45">
          <w:rPr>
            <w:rStyle w:val="Hyperlink"/>
            <w:rFonts w:cstheme="minorHAnsi"/>
            <w:noProof/>
          </w:rPr>
          <w:t>1. Definitions and Interpretation</w:t>
        </w:r>
        <w:r>
          <w:rPr>
            <w:noProof/>
            <w:webHidden/>
          </w:rPr>
          <w:tab/>
        </w:r>
        <w:r>
          <w:rPr>
            <w:noProof/>
            <w:webHidden/>
          </w:rPr>
          <w:fldChar w:fldCharType="begin"/>
        </w:r>
        <w:r>
          <w:rPr>
            <w:noProof/>
            <w:webHidden/>
          </w:rPr>
          <w:instrText xml:space="preserve"> PAGEREF _Toc242471391 \h </w:instrText>
        </w:r>
        <w:r>
          <w:rPr>
            <w:noProof/>
            <w:webHidden/>
          </w:rPr>
        </w:r>
        <w:r>
          <w:rPr>
            <w:noProof/>
            <w:webHidden/>
          </w:rPr>
          <w:fldChar w:fldCharType="separate"/>
        </w:r>
        <w:r>
          <w:rPr>
            <w:noProof/>
            <w:webHidden/>
          </w:rPr>
          <w:t>4</w:t>
        </w:r>
        <w:r>
          <w:rPr>
            <w:noProof/>
            <w:webHidden/>
          </w:rPr>
          <w:fldChar w:fldCharType="end"/>
        </w:r>
      </w:hyperlink>
    </w:p>
    <w:p w14:paraId="2E352388" w14:textId="661AA45D" w:rsidR="00CE5620" w:rsidRDefault="00CE5620">
      <w:pPr>
        <w:pStyle w:val="TOC1"/>
        <w:rPr>
          <w:rFonts w:asciiTheme="minorHAnsi" w:eastAsiaTheme="minorEastAsia" w:hAnsiTheme="minorHAnsi" w:cstheme="minorBidi"/>
          <w:noProof/>
          <w:kern w:val="2"/>
          <w:sz w:val="24"/>
          <w:szCs w:val="24"/>
          <w:lang w:val="en-CH" w:eastAsia="zh-CN"/>
          <w14:ligatures w14:val="standardContextual"/>
        </w:rPr>
      </w:pPr>
      <w:hyperlink w:anchor="_Toc242471392" w:history="1">
        <w:r w:rsidRPr="00FF2D45">
          <w:rPr>
            <w:rStyle w:val="Hyperlink"/>
            <w:rFonts w:cstheme="minorHAnsi"/>
            <w:noProof/>
          </w:rPr>
          <w:t>2. Agreement Parties</w:t>
        </w:r>
        <w:r>
          <w:rPr>
            <w:noProof/>
            <w:webHidden/>
          </w:rPr>
          <w:tab/>
        </w:r>
        <w:r>
          <w:rPr>
            <w:noProof/>
            <w:webHidden/>
          </w:rPr>
          <w:fldChar w:fldCharType="begin"/>
        </w:r>
        <w:r>
          <w:rPr>
            <w:noProof/>
            <w:webHidden/>
          </w:rPr>
          <w:instrText xml:space="preserve"> PAGEREF _Toc242471392 \h </w:instrText>
        </w:r>
        <w:r>
          <w:rPr>
            <w:noProof/>
            <w:webHidden/>
          </w:rPr>
        </w:r>
        <w:r>
          <w:rPr>
            <w:noProof/>
            <w:webHidden/>
          </w:rPr>
          <w:fldChar w:fldCharType="separate"/>
        </w:r>
        <w:r>
          <w:rPr>
            <w:noProof/>
            <w:webHidden/>
          </w:rPr>
          <w:t>7</w:t>
        </w:r>
        <w:r>
          <w:rPr>
            <w:noProof/>
            <w:webHidden/>
          </w:rPr>
          <w:fldChar w:fldCharType="end"/>
        </w:r>
      </w:hyperlink>
    </w:p>
    <w:p w14:paraId="47A0EC07" w14:textId="21698124" w:rsidR="00CE5620" w:rsidRDefault="00CE5620">
      <w:pPr>
        <w:pStyle w:val="TOC1"/>
        <w:rPr>
          <w:rFonts w:asciiTheme="minorHAnsi" w:eastAsiaTheme="minorEastAsia" w:hAnsiTheme="minorHAnsi" w:cstheme="minorBidi"/>
          <w:noProof/>
          <w:kern w:val="2"/>
          <w:sz w:val="24"/>
          <w:szCs w:val="24"/>
          <w:lang w:val="en-CH" w:eastAsia="zh-CN"/>
          <w14:ligatures w14:val="standardContextual"/>
        </w:rPr>
      </w:pPr>
      <w:hyperlink w:anchor="_Toc242471393" w:history="1">
        <w:r w:rsidRPr="00FF2D45">
          <w:rPr>
            <w:rStyle w:val="Hyperlink"/>
            <w:rFonts w:cstheme="minorHAnsi"/>
            <w:noProof/>
          </w:rPr>
          <w:t>3. Purpose and Scope of the Agreement</w:t>
        </w:r>
        <w:r>
          <w:rPr>
            <w:noProof/>
            <w:webHidden/>
          </w:rPr>
          <w:tab/>
        </w:r>
        <w:r>
          <w:rPr>
            <w:noProof/>
            <w:webHidden/>
          </w:rPr>
          <w:fldChar w:fldCharType="begin"/>
        </w:r>
        <w:r>
          <w:rPr>
            <w:noProof/>
            <w:webHidden/>
          </w:rPr>
          <w:instrText xml:space="preserve"> PAGEREF _Toc242471393 \h </w:instrText>
        </w:r>
        <w:r>
          <w:rPr>
            <w:noProof/>
            <w:webHidden/>
          </w:rPr>
        </w:r>
        <w:r>
          <w:rPr>
            <w:noProof/>
            <w:webHidden/>
          </w:rPr>
          <w:fldChar w:fldCharType="separate"/>
        </w:r>
        <w:r>
          <w:rPr>
            <w:noProof/>
            <w:webHidden/>
          </w:rPr>
          <w:t>7</w:t>
        </w:r>
        <w:r>
          <w:rPr>
            <w:noProof/>
            <w:webHidden/>
          </w:rPr>
          <w:fldChar w:fldCharType="end"/>
        </w:r>
      </w:hyperlink>
    </w:p>
    <w:p w14:paraId="038B974C" w14:textId="0323AE8D" w:rsidR="00CE5620" w:rsidRDefault="00CE5620">
      <w:pPr>
        <w:pStyle w:val="TOC1"/>
        <w:rPr>
          <w:rFonts w:asciiTheme="minorHAnsi" w:eastAsiaTheme="minorEastAsia" w:hAnsiTheme="minorHAnsi" w:cstheme="minorBidi"/>
          <w:noProof/>
          <w:kern w:val="2"/>
          <w:sz w:val="24"/>
          <w:szCs w:val="24"/>
          <w:lang w:val="en-CH" w:eastAsia="zh-CN"/>
          <w14:ligatures w14:val="standardContextual"/>
        </w:rPr>
      </w:pPr>
      <w:hyperlink w:anchor="_Toc242471394" w:history="1">
        <w:r w:rsidRPr="00FF2D45">
          <w:rPr>
            <w:rStyle w:val="Hyperlink"/>
            <w:rFonts w:cstheme="minorHAnsi"/>
            <w:noProof/>
          </w:rPr>
          <w:t>4. Contract Price, Specification and Product Compliance</w:t>
        </w:r>
        <w:r>
          <w:rPr>
            <w:noProof/>
            <w:webHidden/>
          </w:rPr>
          <w:tab/>
        </w:r>
        <w:r>
          <w:rPr>
            <w:noProof/>
            <w:webHidden/>
          </w:rPr>
          <w:fldChar w:fldCharType="begin"/>
        </w:r>
        <w:r>
          <w:rPr>
            <w:noProof/>
            <w:webHidden/>
          </w:rPr>
          <w:instrText xml:space="preserve"> PAGEREF _Toc242471394 \h </w:instrText>
        </w:r>
        <w:r>
          <w:rPr>
            <w:noProof/>
            <w:webHidden/>
          </w:rPr>
        </w:r>
        <w:r>
          <w:rPr>
            <w:noProof/>
            <w:webHidden/>
          </w:rPr>
          <w:fldChar w:fldCharType="separate"/>
        </w:r>
        <w:r>
          <w:rPr>
            <w:noProof/>
            <w:webHidden/>
          </w:rPr>
          <w:t>7</w:t>
        </w:r>
        <w:r>
          <w:rPr>
            <w:noProof/>
            <w:webHidden/>
          </w:rPr>
          <w:fldChar w:fldCharType="end"/>
        </w:r>
      </w:hyperlink>
    </w:p>
    <w:p w14:paraId="1D37EE6B" w14:textId="1A8BDBEA" w:rsidR="00CE5620" w:rsidRDefault="00CE5620">
      <w:pPr>
        <w:pStyle w:val="TOC1"/>
        <w:rPr>
          <w:rFonts w:asciiTheme="minorHAnsi" w:eastAsiaTheme="minorEastAsia" w:hAnsiTheme="minorHAnsi" w:cstheme="minorBidi"/>
          <w:noProof/>
          <w:kern w:val="2"/>
          <w:sz w:val="24"/>
          <w:szCs w:val="24"/>
          <w:lang w:val="en-CH" w:eastAsia="zh-CN"/>
          <w14:ligatures w14:val="standardContextual"/>
        </w:rPr>
      </w:pPr>
      <w:hyperlink w:anchor="_Toc242471395" w:history="1">
        <w:r w:rsidRPr="00FF2D45">
          <w:rPr>
            <w:rStyle w:val="Hyperlink"/>
            <w:rFonts w:cstheme="minorHAnsi"/>
            <w:noProof/>
          </w:rPr>
          <w:t>5. Factory Inspection, Packaging, Shipping and Delivery</w:t>
        </w:r>
        <w:r>
          <w:rPr>
            <w:noProof/>
            <w:webHidden/>
          </w:rPr>
          <w:tab/>
        </w:r>
        <w:r>
          <w:rPr>
            <w:noProof/>
            <w:webHidden/>
          </w:rPr>
          <w:fldChar w:fldCharType="begin"/>
        </w:r>
        <w:r>
          <w:rPr>
            <w:noProof/>
            <w:webHidden/>
          </w:rPr>
          <w:instrText xml:space="preserve"> PAGEREF _Toc242471395 \h </w:instrText>
        </w:r>
        <w:r>
          <w:rPr>
            <w:noProof/>
            <w:webHidden/>
          </w:rPr>
        </w:r>
        <w:r>
          <w:rPr>
            <w:noProof/>
            <w:webHidden/>
          </w:rPr>
          <w:fldChar w:fldCharType="separate"/>
        </w:r>
        <w:r>
          <w:rPr>
            <w:noProof/>
            <w:webHidden/>
          </w:rPr>
          <w:t>15</w:t>
        </w:r>
        <w:r>
          <w:rPr>
            <w:noProof/>
            <w:webHidden/>
          </w:rPr>
          <w:fldChar w:fldCharType="end"/>
        </w:r>
      </w:hyperlink>
    </w:p>
    <w:p w14:paraId="05C22E01" w14:textId="113D042B" w:rsidR="00CE5620" w:rsidRDefault="00CE5620">
      <w:pPr>
        <w:pStyle w:val="TOC1"/>
        <w:rPr>
          <w:rFonts w:asciiTheme="minorHAnsi" w:eastAsiaTheme="minorEastAsia" w:hAnsiTheme="minorHAnsi" w:cstheme="minorBidi"/>
          <w:noProof/>
          <w:kern w:val="2"/>
          <w:sz w:val="24"/>
          <w:szCs w:val="24"/>
          <w:lang w:val="en-CH" w:eastAsia="zh-CN"/>
          <w14:ligatures w14:val="standardContextual"/>
        </w:rPr>
      </w:pPr>
      <w:hyperlink w:anchor="_Toc242471396" w:history="1">
        <w:r w:rsidRPr="00FF2D45">
          <w:rPr>
            <w:rStyle w:val="Hyperlink"/>
            <w:rFonts w:cstheme="minorHAnsi"/>
            <w:noProof/>
          </w:rPr>
          <w:t>6. Delivery Inspection, Commissioning, Site Acceptance, Monitoring and Payment</w:t>
        </w:r>
        <w:r>
          <w:rPr>
            <w:noProof/>
            <w:webHidden/>
          </w:rPr>
          <w:tab/>
        </w:r>
        <w:r>
          <w:rPr>
            <w:noProof/>
            <w:webHidden/>
          </w:rPr>
          <w:fldChar w:fldCharType="begin"/>
        </w:r>
        <w:r>
          <w:rPr>
            <w:noProof/>
            <w:webHidden/>
          </w:rPr>
          <w:instrText xml:space="preserve"> PAGEREF _Toc242471396 \h </w:instrText>
        </w:r>
        <w:r>
          <w:rPr>
            <w:noProof/>
            <w:webHidden/>
          </w:rPr>
        </w:r>
        <w:r>
          <w:rPr>
            <w:noProof/>
            <w:webHidden/>
          </w:rPr>
          <w:fldChar w:fldCharType="separate"/>
        </w:r>
        <w:r>
          <w:rPr>
            <w:noProof/>
            <w:webHidden/>
          </w:rPr>
          <w:t>22</w:t>
        </w:r>
        <w:r>
          <w:rPr>
            <w:noProof/>
            <w:webHidden/>
          </w:rPr>
          <w:fldChar w:fldCharType="end"/>
        </w:r>
      </w:hyperlink>
    </w:p>
    <w:p w14:paraId="056B9982" w14:textId="5AC7FC86" w:rsidR="00CE5620" w:rsidRDefault="00CE5620">
      <w:pPr>
        <w:pStyle w:val="TOC1"/>
        <w:rPr>
          <w:rFonts w:asciiTheme="minorHAnsi" w:eastAsiaTheme="minorEastAsia" w:hAnsiTheme="minorHAnsi" w:cstheme="minorBidi"/>
          <w:noProof/>
          <w:kern w:val="2"/>
          <w:sz w:val="24"/>
          <w:szCs w:val="24"/>
          <w:lang w:val="en-CH" w:eastAsia="zh-CN"/>
          <w14:ligatures w14:val="standardContextual"/>
        </w:rPr>
      </w:pPr>
      <w:hyperlink w:anchor="_Toc242471397" w:history="1">
        <w:r w:rsidRPr="00FF2D45">
          <w:rPr>
            <w:rStyle w:val="Hyperlink"/>
            <w:rFonts w:cstheme="minorHAnsi"/>
            <w:noProof/>
          </w:rPr>
          <w:t>7. Warranty</w:t>
        </w:r>
        <w:r>
          <w:rPr>
            <w:noProof/>
            <w:webHidden/>
          </w:rPr>
          <w:tab/>
        </w:r>
        <w:r>
          <w:rPr>
            <w:noProof/>
            <w:webHidden/>
          </w:rPr>
          <w:fldChar w:fldCharType="begin"/>
        </w:r>
        <w:r>
          <w:rPr>
            <w:noProof/>
            <w:webHidden/>
          </w:rPr>
          <w:instrText xml:space="preserve"> PAGEREF _Toc242471397 \h </w:instrText>
        </w:r>
        <w:r>
          <w:rPr>
            <w:noProof/>
            <w:webHidden/>
          </w:rPr>
        </w:r>
        <w:r>
          <w:rPr>
            <w:noProof/>
            <w:webHidden/>
          </w:rPr>
          <w:fldChar w:fldCharType="separate"/>
        </w:r>
        <w:r>
          <w:rPr>
            <w:noProof/>
            <w:webHidden/>
          </w:rPr>
          <w:t>30</w:t>
        </w:r>
        <w:r>
          <w:rPr>
            <w:noProof/>
            <w:webHidden/>
          </w:rPr>
          <w:fldChar w:fldCharType="end"/>
        </w:r>
      </w:hyperlink>
    </w:p>
    <w:p w14:paraId="0BECCC19" w14:textId="4DE89F09" w:rsidR="00CE5620" w:rsidRDefault="00CE5620">
      <w:pPr>
        <w:pStyle w:val="TOC1"/>
        <w:rPr>
          <w:rFonts w:asciiTheme="minorHAnsi" w:eastAsiaTheme="minorEastAsia" w:hAnsiTheme="minorHAnsi" w:cstheme="minorBidi"/>
          <w:noProof/>
          <w:kern w:val="2"/>
          <w:sz w:val="24"/>
          <w:szCs w:val="24"/>
          <w:lang w:val="en-CH" w:eastAsia="zh-CN"/>
          <w14:ligatures w14:val="standardContextual"/>
        </w:rPr>
      </w:pPr>
      <w:hyperlink w:anchor="_Toc242471398" w:history="1">
        <w:r w:rsidRPr="00FF2D45">
          <w:rPr>
            <w:rStyle w:val="Hyperlink"/>
            <w:rFonts w:cstheme="minorHAnsi"/>
            <w:noProof/>
          </w:rPr>
          <w:t>8. Duration and Termination</w:t>
        </w:r>
        <w:r>
          <w:rPr>
            <w:noProof/>
            <w:webHidden/>
          </w:rPr>
          <w:tab/>
        </w:r>
        <w:r>
          <w:rPr>
            <w:noProof/>
            <w:webHidden/>
          </w:rPr>
          <w:fldChar w:fldCharType="begin"/>
        </w:r>
        <w:r>
          <w:rPr>
            <w:noProof/>
            <w:webHidden/>
          </w:rPr>
          <w:instrText xml:space="preserve"> PAGEREF _Toc242471398 \h </w:instrText>
        </w:r>
        <w:r>
          <w:rPr>
            <w:noProof/>
            <w:webHidden/>
          </w:rPr>
        </w:r>
        <w:r>
          <w:rPr>
            <w:noProof/>
            <w:webHidden/>
          </w:rPr>
          <w:fldChar w:fldCharType="separate"/>
        </w:r>
        <w:r>
          <w:rPr>
            <w:noProof/>
            <w:webHidden/>
          </w:rPr>
          <w:t>36</w:t>
        </w:r>
        <w:r>
          <w:rPr>
            <w:noProof/>
            <w:webHidden/>
          </w:rPr>
          <w:fldChar w:fldCharType="end"/>
        </w:r>
      </w:hyperlink>
    </w:p>
    <w:p w14:paraId="165E9395" w14:textId="12E4F817" w:rsidR="00CE5620" w:rsidRDefault="00CE5620">
      <w:pPr>
        <w:pStyle w:val="TOC1"/>
        <w:rPr>
          <w:rFonts w:asciiTheme="minorHAnsi" w:eastAsiaTheme="minorEastAsia" w:hAnsiTheme="minorHAnsi" w:cstheme="minorBidi"/>
          <w:noProof/>
          <w:kern w:val="2"/>
          <w:sz w:val="24"/>
          <w:szCs w:val="24"/>
          <w:lang w:val="en-CH" w:eastAsia="zh-CN"/>
          <w14:ligatures w14:val="standardContextual"/>
        </w:rPr>
      </w:pPr>
      <w:hyperlink w:anchor="_Toc242471399" w:history="1">
        <w:r w:rsidRPr="00FF2D45">
          <w:rPr>
            <w:rStyle w:val="Hyperlink"/>
            <w:rFonts w:cstheme="minorHAnsi"/>
            <w:noProof/>
          </w:rPr>
          <w:t>9. Force Majeure</w:t>
        </w:r>
        <w:r>
          <w:rPr>
            <w:noProof/>
            <w:webHidden/>
          </w:rPr>
          <w:tab/>
        </w:r>
        <w:r>
          <w:rPr>
            <w:noProof/>
            <w:webHidden/>
          </w:rPr>
          <w:fldChar w:fldCharType="begin"/>
        </w:r>
        <w:r>
          <w:rPr>
            <w:noProof/>
            <w:webHidden/>
          </w:rPr>
          <w:instrText xml:space="preserve"> PAGEREF _Toc242471399 \h </w:instrText>
        </w:r>
        <w:r>
          <w:rPr>
            <w:noProof/>
            <w:webHidden/>
          </w:rPr>
        </w:r>
        <w:r>
          <w:rPr>
            <w:noProof/>
            <w:webHidden/>
          </w:rPr>
          <w:fldChar w:fldCharType="separate"/>
        </w:r>
        <w:r>
          <w:rPr>
            <w:noProof/>
            <w:webHidden/>
          </w:rPr>
          <w:t>38</w:t>
        </w:r>
        <w:r>
          <w:rPr>
            <w:noProof/>
            <w:webHidden/>
          </w:rPr>
          <w:fldChar w:fldCharType="end"/>
        </w:r>
      </w:hyperlink>
    </w:p>
    <w:p w14:paraId="45506CF5" w14:textId="41130745" w:rsidR="00CE5620" w:rsidRDefault="00CE5620">
      <w:pPr>
        <w:pStyle w:val="TOC1"/>
        <w:rPr>
          <w:rFonts w:asciiTheme="minorHAnsi" w:eastAsiaTheme="minorEastAsia" w:hAnsiTheme="minorHAnsi" w:cstheme="minorBidi"/>
          <w:noProof/>
          <w:kern w:val="2"/>
          <w:sz w:val="24"/>
          <w:szCs w:val="24"/>
          <w:lang w:val="en-CH" w:eastAsia="zh-CN"/>
          <w14:ligatures w14:val="standardContextual"/>
        </w:rPr>
      </w:pPr>
      <w:hyperlink w:anchor="_Toc242471400" w:history="1">
        <w:r w:rsidRPr="00FF2D45">
          <w:rPr>
            <w:rStyle w:val="Hyperlink"/>
            <w:rFonts w:cstheme="minorHAnsi"/>
            <w:noProof/>
          </w:rPr>
          <w:t>10. Intellectual Property, Software and Data</w:t>
        </w:r>
        <w:r>
          <w:rPr>
            <w:noProof/>
            <w:webHidden/>
          </w:rPr>
          <w:tab/>
        </w:r>
        <w:r>
          <w:rPr>
            <w:noProof/>
            <w:webHidden/>
          </w:rPr>
          <w:fldChar w:fldCharType="begin"/>
        </w:r>
        <w:r>
          <w:rPr>
            <w:noProof/>
            <w:webHidden/>
          </w:rPr>
          <w:instrText xml:space="preserve"> PAGEREF _Toc242471400 \h </w:instrText>
        </w:r>
        <w:r>
          <w:rPr>
            <w:noProof/>
            <w:webHidden/>
          </w:rPr>
        </w:r>
        <w:r>
          <w:rPr>
            <w:noProof/>
            <w:webHidden/>
          </w:rPr>
          <w:fldChar w:fldCharType="separate"/>
        </w:r>
        <w:r>
          <w:rPr>
            <w:noProof/>
            <w:webHidden/>
          </w:rPr>
          <w:t>39</w:t>
        </w:r>
        <w:r>
          <w:rPr>
            <w:noProof/>
            <w:webHidden/>
          </w:rPr>
          <w:fldChar w:fldCharType="end"/>
        </w:r>
      </w:hyperlink>
    </w:p>
    <w:p w14:paraId="3970C4D4" w14:textId="43446905" w:rsidR="00CE5620" w:rsidRDefault="00CE5620">
      <w:pPr>
        <w:pStyle w:val="TOC1"/>
        <w:rPr>
          <w:rFonts w:asciiTheme="minorHAnsi" w:eastAsiaTheme="minorEastAsia" w:hAnsiTheme="minorHAnsi" w:cstheme="minorBidi"/>
          <w:noProof/>
          <w:kern w:val="2"/>
          <w:sz w:val="24"/>
          <w:szCs w:val="24"/>
          <w:lang w:val="en-CH" w:eastAsia="zh-CN"/>
          <w14:ligatures w14:val="standardContextual"/>
        </w:rPr>
      </w:pPr>
      <w:hyperlink w:anchor="_Toc242471401" w:history="1">
        <w:r w:rsidRPr="00FF2D45">
          <w:rPr>
            <w:rStyle w:val="Hyperlink"/>
            <w:rFonts w:cstheme="minorHAnsi"/>
            <w:noProof/>
          </w:rPr>
          <w:t>11. Confidentiality</w:t>
        </w:r>
        <w:r>
          <w:rPr>
            <w:noProof/>
            <w:webHidden/>
          </w:rPr>
          <w:tab/>
        </w:r>
        <w:r>
          <w:rPr>
            <w:noProof/>
            <w:webHidden/>
          </w:rPr>
          <w:fldChar w:fldCharType="begin"/>
        </w:r>
        <w:r>
          <w:rPr>
            <w:noProof/>
            <w:webHidden/>
          </w:rPr>
          <w:instrText xml:space="preserve"> PAGEREF _Toc242471401 \h </w:instrText>
        </w:r>
        <w:r>
          <w:rPr>
            <w:noProof/>
            <w:webHidden/>
          </w:rPr>
        </w:r>
        <w:r>
          <w:rPr>
            <w:noProof/>
            <w:webHidden/>
          </w:rPr>
          <w:fldChar w:fldCharType="separate"/>
        </w:r>
        <w:r>
          <w:rPr>
            <w:noProof/>
            <w:webHidden/>
          </w:rPr>
          <w:t>40</w:t>
        </w:r>
        <w:r>
          <w:rPr>
            <w:noProof/>
            <w:webHidden/>
          </w:rPr>
          <w:fldChar w:fldCharType="end"/>
        </w:r>
      </w:hyperlink>
    </w:p>
    <w:p w14:paraId="363BB9FB" w14:textId="1BCBD2EE" w:rsidR="00CE5620" w:rsidRDefault="00CE5620">
      <w:pPr>
        <w:pStyle w:val="TOC1"/>
        <w:rPr>
          <w:rFonts w:asciiTheme="minorHAnsi" w:eastAsiaTheme="minorEastAsia" w:hAnsiTheme="minorHAnsi" w:cstheme="minorBidi"/>
          <w:noProof/>
          <w:kern w:val="2"/>
          <w:sz w:val="24"/>
          <w:szCs w:val="24"/>
          <w:lang w:val="en-CH" w:eastAsia="zh-CN"/>
          <w14:ligatures w14:val="standardContextual"/>
        </w:rPr>
      </w:pPr>
      <w:hyperlink w:anchor="_Toc242471402" w:history="1">
        <w:r w:rsidRPr="00FF2D45">
          <w:rPr>
            <w:rStyle w:val="Hyperlink"/>
            <w:rFonts w:cstheme="minorHAnsi"/>
            <w:noProof/>
          </w:rPr>
          <w:t>12. Subcontracting and OEM Supply</w:t>
        </w:r>
        <w:r>
          <w:rPr>
            <w:noProof/>
            <w:webHidden/>
          </w:rPr>
          <w:tab/>
        </w:r>
        <w:r>
          <w:rPr>
            <w:noProof/>
            <w:webHidden/>
          </w:rPr>
          <w:fldChar w:fldCharType="begin"/>
        </w:r>
        <w:r>
          <w:rPr>
            <w:noProof/>
            <w:webHidden/>
          </w:rPr>
          <w:instrText xml:space="preserve"> PAGEREF _Toc242471402 \h </w:instrText>
        </w:r>
        <w:r>
          <w:rPr>
            <w:noProof/>
            <w:webHidden/>
          </w:rPr>
        </w:r>
        <w:r>
          <w:rPr>
            <w:noProof/>
            <w:webHidden/>
          </w:rPr>
          <w:fldChar w:fldCharType="separate"/>
        </w:r>
        <w:r>
          <w:rPr>
            <w:noProof/>
            <w:webHidden/>
          </w:rPr>
          <w:t>40</w:t>
        </w:r>
        <w:r>
          <w:rPr>
            <w:noProof/>
            <w:webHidden/>
          </w:rPr>
          <w:fldChar w:fldCharType="end"/>
        </w:r>
      </w:hyperlink>
    </w:p>
    <w:p w14:paraId="2C5A982B" w14:textId="2942BE94" w:rsidR="00CE5620" w:rsidRDefault="00CE5620">
      <w:pPr>
        <w:pStyle w:val="TOC1"/>
        <w:rPr>
          <w:rFonts w:asciiTheme="minorHAnsi" w:eastAsiaTheme="minorEastAsia" w:hAnsiTheme="minorHAnsi" w:cstheme="minorBidi"/>
          <w:noProof/>
          <w:kern w:val="2"/>
          <w:sz w:val="24"/>
          <w:szCs w:val="24"/>
          <w:lang w:val="en-CH" w:eastAsia="zh-CN"/>
          <w14:ligatures w14:val="standardContextual"/>
        </w:rPr>
      </w:pPr>
      <w:hyperlink w:anchor="_Toc242471403" w:history="1">
        <w:r w:rsidRPr="00FF2D45">
          <w:rPr>
            <w:rStyle w:val="Hyperlink"/>
            <w:rFonts w:cstheme="minorHAnsi"/>
            <w:noProof/>
          </w:rPr>
          <w:t>13. Assignment</w:t>
        </w:r>
        <w:r>
          <w:rPr>
            <w:noProof/>
            <w:webHidden/>
          </w:rPr>
          <w:tab/>
        </w:r>
        <w:r>
          <w:rPr>
            <w:noProof/>
            <w:webHidden/>
          </w:rPr>
          <w:fldChar w:fldCharType="begin"/>
        </w:r>
        <w:r>
          <w:rPr>
            <w:noProof/>
            <w:webHidden/>
          </w:rPr>
          <w:instrText xml:space="preserve"> PAGEREF _Toc242471403 \h </w:instrText>
        </w:r>
        <w:r>
          <w:rPr>
            <w:noProof/>
            <w:webHidden/>
          </w:rPr>
        </w:r>
        <w:r>
          <w:rPr>
            <w:noProof/>
            <w:webHidden/>
          </w:rPr>
          <w:fldChar w:fldCharType="separate"/>
        </w:r>
        <w:r>
          <w:rPr>
            <w:noProof/>
            <w:webHidden/>
          </w:rPr>
          <w:t>41</w:t>
        </w:r>
        <w:r>
          <w:rPr>
            <w:noProof/>
            <w:webHidden/>
          </w:rPr>
          <w:fldChar w:fldCharType="end"/>
        </w:r>
      </w:hyperlink>
    </w:p>
    <w:p w14:paraId="2A8C7620" w14:textId="160816D5" w:rsidR="00CE5620" w:rsidRDefault="00CE5620">
      <w:pPr>
        <w:pStyle w:val="TOC1"/>
        <w:rPr>
          <w:rFonts w:asciiTheme="minorHAnsi" w:eastAsiaTheme="minorEastAsia" w:hAnsiTheme="minorHAnsi" w:cstheme="minorBidi"/>
          <w:noProof/>
          <w:kern w:val="2"/>
          <w:sz w:val="24"/>
          <w:szCs w:val="24"/>
          <w:lang w:val="en-CH" w:eastAsia="zh-CN"/>
          <w14:ligatures w14:val="standardContextual"/>
        </w:rPr>
      </w:pPr>
      <w:hyperlink w:anchor="_Toc242471404" w:history="1">
        <w:r w:rsidRPr="00FF2D45">
          <w:rPr>
            <w:rStyle w:val="Hyperlink"/>
            <w:rFonts w:cstheme="minorHAnsi"/>
            <w:noProof/>
          </w:rPr>
          <w:t>14. Limitation of Liability, Indemnities and Insurance</w:t>
        </w:r>
        <w:r>
          <w:rPr>
            <w:noProof/>
            <w:webHidden/>
          </w:rPr>
          <w:tab/>
        </w:r>
        <w:r>
          <w:rPr>
            <w:noProof/>
            <w:webHidden/>
          </w:rPr>
          <w:fldChar w:fldCharType="begin"/>
        </w:r>
        <w:r>
          <w:rPr>
            <w:noProof/>
            <w:webHidden/>
          </w:rPr>
          <w:instrText xml:space="preserve"> PAGEREF _Toc242471404 \h </w:instrText>
        </w:r>
        <w:r>
          <w:rPr>
            <w:noProof/>
            <w:webHidden/>
          </w:rPr>
        </w:r>
        <w:r>
          <w:rPr>
            <w:noProof/>
            <w:webHidden/>
          </w:rPr>
          <w:fldChar w:fldCharType="separate"/>
        </w:r>
        <w:r>
          <w:rPr>
            <w:noProof/>
            <w:webHidden/>
          </w:rPr>
          <w:t>41</w:t>
        </w:r>
        <w:r>
          <w:rPr>
            <w:noProof/>
            <w:webHidden/>
          </w:rPr>
          <w:fldChar w:fldCharType="end"/>
        </w:r>
      </w:hyperlink>
    </w:p>
    <w:p w14:paraId="699C6E8F" w14:textId="475A6726" w:rsidR="00CE5620" w:rsidRDefault="00CE5620">
      <w:pPr>
        <w:pStyle w:val="TOC1"/>
        <w:rPr>
          <w:rFonts w:asciiTheme="minorHAnsi" w:eastAsiaTheme="minorEastAsia" w:hAnsiTheme="minorHAnsi" w:cstheme="minorBidi"/>
          <w:noProof/>
          <w:kern w:val="2"/>
          <w:sz w:val="24"/>
          <w:szCs w:val="24"/>
          <w:lang w:val="en-CH" w:eastAsia="zh-CN"/>
          <w14:ligatures w14:val="standardContextual"/>
        </w:rPr>
      </w:pPr>
      <w:hyperlink w:anchor="_Toc242471405" w:history="1">
        <w:r w:rsidRPr="00FF2D45">
          <w:rPr>
            <w:rStyle w:val="Hyperlink"/>
            <w:rFonts w:cstheme="minorHAnsi"/>
            <w:noProof/>
          </w:rPr>
          <w:t>15. Dispute Resolution</w:t>
        </w:r>
        <w:r>
          <w:rPr>
            <w:noProof/>
            <w:webHidden/>
          </w:rPr>
          <w:tab/>
        </w:r>
        <w:r>
          <w:rPr>
            <w:noProof/>
            <w:webHidden/>
          </w:rPr>
          <w:fldChar w:fldCharType="begin"/>
        </w:r>
        <w:r>
          <w:rPr>
            <w:noProof/>
            <w:webHidden/>
          </w:rPr>
          <w:instrText xml:space="preserve"> PAGEREF _Toc242471405 \h </w:instrText>
        </w:r>
        <w:r>
          <w:rPr>
            <w:noProof/>
            <w:webHidden/>
          </w:rPr>
        </w:r>
        <w:r>
          <w:rPr>
            <w:noProof/>
            <w:webHidden/>
          </w:rPr>
          <w:fldChar w:fldCharType="separate"/>
        </w:r>
        <w:r>
          <w:rPr>
            <w:noProof/>
            <w:webHidden/>
          </w:rPr>
          <w:t>43</w:t>
        </w:r>
        <w:r>
          <w:rPr>
            <w:noProof/>
            <w:webHidden/>
          </w:rPr>
          <w:fldChar w:fldCharType="end"/>
        </w:r>
      </w:hyperlink>
    </w:p>
    <w:p w14:paraId="314A41FC" w14:textId="4CB83E90" w:rsidR="00CE5620" w:rsidRDefault="00CE5620">
      <w:pPr>
        <w:pStyle w:val="TOC1"/>
        <w:rPr>
          <w:rFonts w:asciiTheme="minorHAnsi" w:eastAsiaTheme="minorEastAsia" w:hAnsiTheme="minorHAnsi" w:cstheme="minorBidi"/>
          <w:noProof/>
          <w:kern w:val="2"/>
          <w:sz w:val="24"/>
          <w:szCs w:val="24"/>
          <w:lang w:val="en-CH" w:eastAsia="zh-CN"/>
          <w14:ligatures w14:val="standardContextual"/>
        </w:rPr>
      </w:pPr>
      <w:hyperlink w:anchor="_Toc242471406" w:history="1">
        <w:r w:rsidRPr="00FF2D45">
          <w:rPr>
            <w:rStyle w:val="Hyperlink"/>
            <w:rFonts w:cstheme="minorHAnsi"/>
            <w:noProof/>
          </w:rPr>
          <w:t>16. Effectiveness and Notice to Proceed</w:t>
        </w:r>
        <w:r>
          <w:rPr>
            <w:noProof/>
            <w:webHidden/>
          </w:rPr>
          <w:tab/>
        </w:r>
        <w:r>
          <w:rPr>
            <w:noProof/>
            <w:webHidden/>
          </w:rPr>
          <w:fldChar w:fldCharType="begin"/>
        </w:r>
        <w:r>
          <w:rPr>
            <w:noProof/>
            <w:webHidden/>
          </w:rPr>
          <w:instrText xml:space="preserve"> PAGEREF _Toc242471406 \h </w:instrText>
        </w:r>
        <w:r>
          <w:rPr>
            <w:noProof/>
            <w:webHidden/>
          </w:rPr>
        </w:r>
        <w:r>
          <w:rPr>
            <w:noProof/>
            <w:webHidden/>
          </w:rPr>
          <w:fldChar w:fldCharType="separate"/>
        </w:r>
        <w:r>
          <w:rPr>
            <w:noProof/>
            <w:webHidden/>
          </w:rPr>
          <w:t>44</w:t>
        </w:r>
        <w:r>
          <w:rPr>
            <w:noProof/>
            <w:webHidden/>
          </w:rPr>
          <w:fldChar w:fldCharType="end"/>
        </w:r>
      </w:hyperlink>
    </w:p>
    <w:p w14:paraId="08D238D1" w14:textId="199633FA" w:rsidR="00CE5620" w:rsidRDefault="00CE5620">
      <w:pPr>
        <w:pStyle w:val="TOC1"/>
        <w:rPr>
          <w:rFonts w:asciiTheme="minorHAnsi" w:eastAsiaTheme="minorEastAsia" w:hAnsiTheme="minorHAnsi" w:cstheme="minorBidi"/>
          <w:noProof/>
          <w:kern w:val="2"/>
          <w:sz w:val="24"/>
          <w:szCs w:val="24"/>
          <w:lang w:val="en-CH" w:eastAsia="zh-CN"/>
          <w14:ligatures w14:val="standardContextual"/>
        </w:rPr>
      </w:pPr>
      <w:hyperlink w:anchor="_Toc242471407" w:history="1">
        <w:r w:rsidRPr="00FF2D45">
          <w:rPr>
            <w:rStyle w:val="Hyperlink"/>
            <w:rFonts w:cstheme="minorHAnsi"/>
            <w:noProof/>
          </w:rPr>
          <w:t>17. Notices</w:t>
        </w:r>
        <w:r>
          <w:rPr>
            <w:noProof/>
            <w:webHidden/>
          </w:rPr>
          <w:tab/>
        </w:r>
        <w:r>
          <w:rPr>
            <w:noProof/>
            <w:webHidden/>
          </w:rPr>
          <w:fldChar w:fldCharType="begin"/>
        </w:r>
        <w:r>
          <w:rPr>
            <w:noProof/>
            <w:webHidden/>
          </w:rPr>
          <w:instrText xml:space="preserve"> PAGEREF _Toc242471407 \h </w:instrText>
        </w:r>
        <w:r>
          <w:rPr>
            <w:noProof/>
            <w:webHidden/>
          </w:rPr>
        </w:r>
        <w:r>
          <w:rPr>
            <w:noProof/>
            <w:webHidden/>
          </w:rPr>
          <w:fldChar w:fldCharType="separate"/>
        </w:r>
        <w:r>
          <w:rPr>
            <w:noProof/>
            <w:webHidden/>
          </w:rPr>
          <w:t>44</w:t>
        </w:r>
        <w:r>
          <w:rPr>
            <w:noProof/>
            <w:webHidden/>
          </w:rPr>
          <w:fldChar w:fldCharType="end"/>
        </w:r>
      </w:hyperlink>
    </w:p>
    <w:p w14:paraId="03DA5C5B" w14:textId="790820E9" w:rsidR="00CE5620" w:rsidRDefault="00CE5620">
      <w:pPr>
        <w:pStyle w:val="TOC1"/>
        <w:rPr>
          <w:rFonts w:asciiTheme="minorHAnsi" w:eastAsiaTheme="minorEastAsia" w:hAnsiTheme="minorHAnsi" w:cstheme="minorBidi"/>
          <w:noProof/>
          <w:kern w:val="2"/>
          <w:sz w:val="24"/>
          <w:szCs w:val="24"/>
          <w:lang w:val="en-CH" w:eastAsia="zh-CN"/>
          <w14:ligatures w14:val="standardContextual"/>
        </w:rPr>
      </w:pPr>
      <w:hyperlink w:anchor="_Toc242471408" w:history="1">
        <w:r w:rsidRPr="00FF2D45">
          <w:rPr>
            <w:rStyle w:val="Hyperlink"/>
            <w:rFonts w:cstheme="minorHAnsi"/>
            <w:noProof/>
          </w:rPr>
          <w:t>18. Governing Law</w:t>
        </w:r>
        <w:r>
          <w:rPr>
            <w:noProof/>
            <w:webHidden/>
          </w:rPr>
          <w:tab/>
        </w:r>
        <w:r>
          <w:rPr>
            <w:noProof/>
            <w:webHidden/>
          </w:rPr>
          <w:fldChar w:fldCharType="begin"/>
        </w:r>
        <w:r>
          <w:rPr>
            <w:noProof/>
            <w:webHidden/>
          </w:rPr>
          <w:instrText xml:space="preserve"> PAGEREF _Toc242471408 \h </w:instrText>
        </w:r>
        <w:r>
          <w:rPr>
            <w:noProof/>
            <w:webHidden/>
          </w:rPr>
        </w:r>
        <w:r>
          <w:rPr>
            <w:noProof/>
            <w:webHidden/>
          </w:rPr>
          <w:fldChar w:fldCharType="separate"/>
        </w:r>
        <w:r>
          <w:rPr>
            <w:noProof/>
            <w:webHidden/>
          </w:rPr>
          <w:t>45</w:t>
        </w:r>
        <w:r>
          <w:rPr>
            <w:noProof/>
            <w:webHidden/>
          </w:rPr>
          <w:fldChar w:fldCharType="end"/>
        </w:r>
      </w:hyperlink>
    </w:p>
    <w:p w14:paraId="6B15CBE6" w14:textId="00E4E67A" w:rsidR="00CE5620" w:rsidRDefault="00CE5620">
      <w:pPr>
        <w:pStyle w:val="TOC1"/>
        <w:rPr>
          <w:rFonts w:asciiTheme="minorHAnsi" w:eastAsiaTheme="minorEastAsia" w:hAnsiTheme="minorHAnsi" w:cstheme="minorBidi"/>
          <w:noProof/>
          <w:kern w:val="2"/>
          <w:sz w:val="24"/>
          <w:szCs w:val="24"/>
          <w:lang w:val="en-CH" w:eastAsia="zh-CN"/>
          <w14:ligatures w14:val="standardContextual"/>
        </w:rPr>
      </w:pPr>
      <w:hyperlink w:anchor="_Toc242471409" w:history="1">
        <w:r w:rsidRPr="00FF2D45">
          <w:rPr>
            <w:rStyle w:val="Hyperlink"/>
            <w:rFonts w:cstheme="minorHAnsi"/>
            <w:noProof/>
          </w:rPr>
          <w:t>19. Severability</w:t>
        </w:r>
        <w:r>
          <w:rPr>
            <w:noProof/>
            <w:webHidden/>
          </w:rPr>
          <w:tab/>
        </w:r>
        <w:r>
          <w:rPr>
            <w:noProof/>
            <w:webHidden/>
          </w:rPr>
          <w:fldChar w:fldCharType="begin"/>
        </w:r>
        <w:r>
          <w:rPr>
            <w:noProof/>
            <w:webHidden/>
          </w:rPr>
          <w:instrText xml:space="preserve"> PAGEREF _Toc242471409 \h </w:instrText>
        </w:r>
        <w:r>
          <w:rPr>
            <w:noProof/>
            <w:webHidden/>
          </w:rPr>
        </w:r>
        <w:r>
          <w:rPr>
            <w:noProof/>
            <w:webHidden/>
          </w:rPr>
          <w:fldChar w:fldCharType="separate"/>
        </w:r>
        <w:r>
          <w:rPr>
            <w:noProof/>
            <w:webHidden/>
          </w:rPr>
          <w:t>45</w:t>
        </w:r>
        <w:r>
          <w:rPr>
            <w:noProof/>
            <w:webHidden/>
          </w:rPr>
          <w:fldChar w:fldCharType="end"/>
        </w:r>
      </w:hyperlink>
    </w:p>
    <w:p w14:paraId="3E3C2347" w14:textId="5AF5C01E" w:rsidR="00CE5620" w:rsidRDefault="00CE5620">
      <w:pPr>
        <w:pStyle w:val="TOC1"/>
        <w:rPr>
          <w:rFonts w:asciiTheme="minorHAnsi" w:eastAsiaTheme="minorEastAsia" w:hAnsiTheme="minorHAnsi" w:cstheme="minorBidi"/>
          <w:noProof/>
          <w:kern w:val="2"/>
          <w:sz w:val="24"/>
          <w:szCs w:val="24"/>
          <w:lang w:val="en-CH" w:eastAsia="zh-CN"/>
          <w14:ligatures w14:val="standardContextual"/>
        </w:rPr>
      </w:pPr>
      <w:hyperlink w:anchor="_Toc242471410" w:history="1">
        <w:r w:rsidRPr="00FF2D45">
          <w:rPr>
            <w:rStyle w:val="Hyperlink"/>
            <w:rFonts w:cstheme="minorHAnsi"/>
            <w:noProof/>
          </w:rPr>
          <w:t>20. Entire Agreement, Modifications and Order of Precedence</w:t>
        </w:r>
        <w:r>
          <w:rPr>
            <w:noProof/>
            <w:webHidden/>
          </w:rPr>
          <w:tab/>
        </w:r>
        <w:r>
          <w:rPr>
            <w:noProof/>
            <w:webHidden/>
          </w:rPr>
          <w:fldChar w:fldCharType="begin"/>
        </w:r>
        <w:r>
          <w:rPr>
            <w:noProof/>
            <w:webHidden/>
          </w:rPr>
          <w:instrText xml:space="preserve"> PAGEREF _Toc242471410 \h </w:instrText>
        </w:r>
        <w:r>
          <w:rPr>
            <w:noProof/>
            <w:webHidden/>
          </w:rPr>
        </w:r>
        <w:r>
          <w:rPr>
            <w:noProof/>
            <w:webHidden/>
          </w:rPr>
          <w:fldChar w:fldCharType="separate"/>
        </w:r>
        <w:r>
          <w:rPr>
            <w:noProof/>
            <w:webHidden/>
          </w:rPr>
          <w:t>45</w:t>
        </w:r>
        <w:r>
          <w:rPr>
            <w:noProof/>
            <w:webHidden/>
          </w:rPr>
          <w:fldChar w:fldCharType="end"/>
        </w:r>
      </w:hyperlink>
    </w:p>
    <w:p w14:paraId="242223DA" w14:textId="1DBE1663" w:rsidR="00CE5620" w:rsidRDefault="00CE5620">
      <w:pPr>
        <w:pStyle w:val="TOC1"/>
        <w:rPr>
          <w:rFonts w:asciiTheme="minorHAnsi" w:eastAsiaTheme="minorEastAsia" w:hAnsiTheme="minorHAnsi" w:cstheme="minorBidi"/>
          <w:noProof/>
          <w:kern w:val="2"/>
          <w:sz w:val="24"/>
          <w:szCs w:val="24"/>
          <w:lang w:val="en-CH" w:eastAsia="zh-CN"/>
          <w14:ligatures w14:val="standardContextual"/>
        </w:rPr>
      </w:pPr>
      <w:hyperlink w:anchor="_Toc242471411" w:history="1">
        <w:r w:rsidRPr="00FF2D45">
          <w:rPr>
            <w:rStyle w:val="Hyperlink"/>
            <w:rFonts w:cstheme="minorHAnsi"/>
            <w:noProof/>
          </w:rPr>
          <w:t>21. Language</w:t>
        </w:r>
        <w:r>
          <w:rPr>
            <w:noProof/>
            <w:webHidden/>
          </w:rPr>
          <w:tab/>
        </w:r>
        <w:r>
          <w:rPr>
            <w:noProof/>
            <w:webHidden/>
          </w:rPr>
          <w:fldChar w:fldCharType="begin"/>
        </w:r>
        <w:r>
          <w:rPr>
            <w:noProof/>
            <w:webHidden/>
          </w:rPr>
          <w:instrText xml:space="preserve"> PAGEREF _Toc242471411 \h </w:instrText>
        </w:r>
        <w:r>
          <w:rPr>
            <w:noProof/>
            <w:webHidden/>
          </w:rPr>
        </w:r>
        <w:r>
          <w:rPr>
            <w:noProof/>
            <w:webHidden/>
          </w:rPr>
          <w:fldChar w:fldCharType="separate"/>
        </w:r>
        <w:r>
          <w:rPr>
            <w:noProof/>
            <w:webHidden/>
          </w:rPr>
          <w:t>46</w:t>
        </w:r>
        <w:r>
          <w:rPr>
            <w:noProof/>
            <w:webHidden/>
          </w:rPr>
          <w:fldChar w:fldCharType="end"/>
        </w:r>
      </w:hyperlink>
    </w:p>
    <w:p w14:paraId="4CC6197E" w14:textId="2536C89F" w:rsidR="00CE5620" w:rsidRDefault="00CE5620">
      <w:pPr>
        <w:pStyle w:val="TOC1"/>
        <w:rPr>
          <w:rFonts w:asciiTheme="minorHAnsi" w:eastAsiaTheme="minorEastAsia" w:hAnsiTheme="minorHAnsi" w:cstheme="minorBidi"/>
          <w:noProof/>
          <w:kern w:val="2"/>
          <w:sz w:val="24"/>
          <w:szCs w:val="24"/>
          <w:lang w:val="en-CH" w:eastAsia="zh-CN"/>
          <w14:ligatures w14:val="standardContextual"/>
        </w:rPr>
      </w:pPr>
      <w:hyperlink w:anchor="_Toc242471412" w:history="1">
        <w:r w:rsidRPr="00FF2D45">
          <w:rPr>
            <w:rStyle w:val="Hyperlink"/>
            <w:rFonts w:cstheme="minorHAnsi"/>
            <w:noProof/>
          </w:rPr>
          <w:t>22. General Provisions</w:t>
        </w:r>
        <w:r>
          <w:rPr>
            <w:noProof/>
            <w:webHidden/>
          </w:rPr>
          <w:tab/>
        </w:r>
        <w:r>
          <w:rPr>
            <w:noProof/>
            <w:webHidden/>
          </w:rPr>
          <w:fldChar w:fldCharType="begin"/>
        </w:r>
        <w:r>
          <w:rPr>
            <w:noProof/>
            <w:webHidden/>
          </w:rPr>
          <w:instrText xml:space="preserve"> PAGEREF _Toc242471412 \h </w:instrText>
        </w:r>
        <w:r>
          <w:rPr>
            <w:noProof/>
            <w:webHidden/>
          </w:rPr>
        </w:r>
        <w:r>
          <w:rPr>
            <w:noProof/>
            <w:webHidden/>
          </w:rPr>
          <w:fldChar w:fldCharType="separate"/>
        </w:r>
        <w:r>
          <w:rPr>
            <w:noProof/>
            <w:webHidden/>
          </w:rPr>
          <w:t>46</w:t>
        </w:r>
        <w:r>
          <w:rPr>
            <w:noProof/>
            <w:webHidden/>
          </w:rPr>
          <w:fldChar w:fldCharType="end"/>
        </w:r>
      </w:hyperlink>
    </w:p>
    <w:p w14:paraId="66CCD28F" w14:textId="476BADAC" w:rsidR="00CE5620" w:rsidRDefault="00CE5620">
      <w:pPr>
        <w:pStyle w:val="TOC1"/>
        <w:rPr>
          <w:rFonts w:asciiTheme="minorHAnsi" w:eastAsiaTheme="minorEastAsia" w:hAnsiTheme="minorHAnsi" w:cstheme="minorBidi"/>
          <w:noProof/>
          <w:kern w:val="2"/>
          <w:sz w:val="24"/>
          <w:szCs w:val="24"/>
          <w:lang w:val="en-CH" w:eastAsia="zh-CN"/>
          <w14:ligatures w14:val="standardContextual"/>
        </w:rPr>
      </w:pPr>
      <w:hyperlink w:anchor="_Toc242471413" w:history="1">
        <w:r w:rsidRPr="00FF2D45">
          <w:rPr>
            <w:rStyle w:val="Hyperlink"/>
            <w:rFonts w:cstheme="minorHAnsi"/>
            <w:noProof/>
            <w:highlight w:val="cyan"/>
          </w:rPr>
          <w:t>APPENDIX A</w:t>
        </w:r>
        <w:r w:rsidRPr="00FF2D45">
          <w:rPr>
            <w:rStyle w:val="Hyperlink"/>
            <w:rFonts w:cstheme="minorHAnsi"/>
            <w:noProof/>
          </w:rPr>
          <w:t xml:space="preserve"> – PURCHASE ORDER</w:t>
        </w:r>
        <w:r>
          <w:rPr>
            <w:noProof/>
            <w:webHidden/>
          </w:rPr>
          <w:tab/>
        </w:r>
        <w:r>
          <w:rPr>
            <w:noProof/>
            <w:webHidden/>
          </w:rPr>
          <w:fldChar w:fldCharType="begin"/>
        </w:r>
        <w:r>
          <w:rPr>
            <w:noProof/>
            <w:webHidden/>
          </w:rPr>
          <w:instrText xml:space="preserve"> PAGEREF _Toc242471413 \h </w:instrText>
        </w:r>
        <w:r>
          <w:rPr>
            <w:noProof/>
            <w:webHidden/>
          </w:rPr>
        </w:r>
        <w:r>
          <w:rPr>
            <w:noProof/>
            <w:webHidden/>
          </w:rPr>
          <w:fldChar w:fldCharType="separate"/>
        </w:r>
        <w:r>
          <w:rPr>
            <w:noProof/>
            <w:webHidden/>
          </w:rPr>
          <w:t>48</w:t>
        </w:r>
        <w:r>
          <w:rPr>
            <w:noProof/>
            <w:webHidden/>
          </w:rPr>
          <w:fldChar w:fldCharType="end"/>
        </w:r>
      </w:hyperlink>
    </w:p>
    <w:p w14:paraId="5AB6A558" w14:textId="5B9D9A5F" w:rsidR="00CE5620" w:rsidRDefault="00CE5620">
      <w:pPr>
        <w:pStyle w:val="TOC1"/>
        <w:rPr>
          <w:rFonts w:asciiTheme="minorHAnsi" w:eastAsiaTheme="minorEastAsia" w:hAnsiTheme="minorHAnsi" w:cstheme="minorBidi"/>
          <w:noProof/>
          <w:kern w:val="2"/>
          <w:sz w:val="24"/>
          <w:szCs w:val="24"/>
          <w:lang w:val="en-CH" w:eastAsia="zh-CN"/>
          <w14:ligatures w14:val="standardContextual"/>
        </w:rPr>
      </w:pPr>
      <w:hyperlink w:anchor="_Toc242471414" w:history="1">
        <w:r w:rsidRPr="00FF2D45">
          <w:rPr>
            <w:rStyle w:val="Hyperlink"/>
            <w:rFonts w:cstheme="minorHAnsi"/>
            <w:noProof/>
            <w:highlight w:val="cyan"/>
          </w:rPr>
          <w:t>APPENDIX B</w:t>
        </w:r>
        <w:r w:rsidRPr="00FF2D45">
          <w:rPr>
            <w:rStyle w:val="Hyperlink"/>
            <w:rFonts w:cstheme="minorHAnsi"/>
            <w:noProof/>
          </w:rPr>
          <w:t xml:space="preserve"> – BESS TECHNICAL SPECIFICATIONS</w:t>
        </w:r>
        <w:r>
          <w:rPr>
            <w:noProof/>
            <w:webHidden/>
          </w:rPr>
          <w:tab/>
        </w:r>
        <w:r>
          <w:rPr>
            <w:noProof/>
            <w:webHidden/>
          </w:rPr>
          <w:fldChar w:fldCharType="begin"/>
        </w:r>
        <w:r>
          <w:rPr>
            <w:noProof/>
            <w:webHidden/>
          </w:rPr>
          <w:instrText xml:space="preserve"> PAGEREF _Toc242471414 \h </w:instrText>
        </w:r>
        <w:r>
          <w:rPr>
            <w:noProof/>
            <w:webHidden/>
          </w:rPr>
        </w:r>
        <w:r>
          <w:rPr>
            <w:noProof/>
            <w:webHidden/>
          </w:rPr>
          <w:fldChar w:fldCharType="separate"/>
        </w:r>
        <w:r>
          <w:rPr>
            <w:noProof/>
            <w:webHidden/>
          </w:rPr>
          <w:t>49</w:t>
        </w:r>
        <w:r>
          <w:rPr>
            <w:noProof/>
            <w:webHidden/>
          </w:rPr>
          <w:fldChar w:fldCharType="end"/>
        </w:r>
      </w:hyperlink>
    </w:p>
    <w:p w14:paraId="2BF2024D" w14:textId="2AB05ED5" w:rsidR="00CE5620" w:rsidRDefault="00CE5620">
      <w:pPr>
        <w:pStyle w:val="TOC1"/>
        <w:rPr>
          <w:rFonts w:asciiTheme="minorHAnsi" w:eastAsiaTheme="minorEastAsia" w:hAnsiTheme="minorHAnsi" w:cstheme="minorBidi"/>
          <w:noProof/>
          <w:kern w:val="2"/>
          <w:sz w:val="24"/>
          <w:szCs w:val="24"/>
          <w:lang w:val="en-CH" w:eastAsia="zh-CN"/>
          <w14:ligatures w14:val="standardContextual"/>
        </w:rPr>
      </w:pPr>
      <w:hyperlink w:anchor="_Toc242471415" w:history="1">
        <w:r w:rsidRPr="00FF2D45">
          <w:rPr>
            <w:rStyle w:val="Hyperlink"/>
            <w:rFonts w:cstheme="minorHAnsi"/>
            <w:noProof/>
            <w:highlight w:val="cyan"/>
          </w:rPr>
          <w:t>APPENDIX C</w:t>
        </w:r>
        <w:r w:rsidRPr="00FF2D45">
          <w:rPr>
            <w:rStyle w:val="Hyperlink"/>
            <w:rFonts w:cstheme="minorHAnsi"/>
            <w:noProof/>
          </w:rPr>
          <w:t xml:space="preserve"> – BATTERY RACK TECHNICAL SPECIFICATIONS</w:t>
        </w:r>
        <w:r>
          <w:rPr>
            <w:noProof/>
            <w:webHidden/>
          </w:rPr>
          <w:tab/>
        </w:r>
        <w:r>
          <w:rPr>
            <w:noProof/>
            <w:webHidden/>
          </w:rPr>
          <w:fldChar w:fldCharType="begin"/>
        </w:r>
        <w:r>
          <w:rPr>
            <w:noProof/>
            <w:webHidden/>
          </w:rPr>
          <w:instrText xml:space="preserve"> PAGEREF _Toc242471415 \h </w:instrText>
        </w:r>
        <w:r>
          <w:rPr>
            <w:noProof/>
            <w:webHidden/>
          </w:rPr>
        </w:r>
        <w:r>
          <w:rPr>
            <w:noProof/>
            <w:webHidden/>
          </w:rPr>
          <w:fldChar w:fldCharType="separate"/>
        </w:r>
        <w:r>
          <w:rPr>
            <w:noProof/>
            <w:webHidden/>
          </w:rPr>
          <w:t>52</w:t>
        </w:r>
        <w:r>
          <w:rPr>
            <w:noProof/>
            <w:webHidden/>
          </w:rPr>
          <w:fldChar w:fldCharType="end"/>
        </w:r>
      </w:hyperlink>
    </w:p>
    <w:p w14:paraId="7E4F1BEF" w14:textId="783ABA42" w:rsidR="00CE5620" w:rsidRDefault="00CE5620">
      <w:pPr>
        <w:pStyle w:val="TOC1"/>
        <w:rPr>
          <w:rFonts w:asciiTheme="minorHAnsi" w:eastAsiaTheme="minorEastAsia" w:hAnsiTheme="minorHAnsi" w:cstheme="minorBidi"/>
          <w:noProof/>
          <w:kern w:val="2"/>
          <w:sz w:val="24"/>
          <w:szCs w:val="24"/>
          <w:lang w:val="en-CH" w:eastAsia="zh-CN"/>
          <w14:ligatures w14:val="standardContextual"/>
        </w:rPr>
      </w:pPr>
      <w:hyperlink w:anchor="_Toc242471416" w:history="1">
        <w:r w:rsidRPr="00FF2D45">
          <w:rPr>
            <w:rStyle w:val="Hyperlink"/>
            <w:rFonts w:cstheme="minorHAnsi"/>
            <w:noProof/>
            <w:highlight w:val="cyan"/>
          </w:rPr>
          <w:t>APPENDIX D</w:t>
        </w:r>
        <w:r w:rsidRPr="00FF2D45">
          <w:rPr>
            <w:rStyle w:val="Hyperlink"/>
            <w:rFonts w:cstheme="minorHAnsi"/>
            <w:noProof/>
          </w:rPr>
          <w:t xml:space="preserve"> – BATTERY PACK TECHNICAL SPECIFICATIONS</w:t>
        </w:r>
        <w:r>
          <w:rPr>
            <w:noProof/>
            <w:webHidden/>
          </w:rPr>
          <w:tab/>
        </w:r>
        <w:r>
          <w:rPr>
            <w:noProof/>
            <w:webHidden/>
          </w:rPr>
          <w:fldChar w:fldCharType="begin"/>
        </w:r>
        <w:r>
          <w:rPr>
            <w:noProof/>
            <w:webHidden/>
          </w:rPr>
          <w:instrText xml:space="preserve"> PAGEREF _Toc242471416 \h </w:instrText>
        </w:r>
        <w:r>
          <w:rPr>
            <w:noProof/>
            <w:webHidden/>
          </w:rPr>
        </w:r>
        <w:r>
          <w:rPr>
            <w:noProof/>
            <w:webHidden/>
          </w:rPr>
          <w:fldChar w:fldCharType="separate"/>
        </w:r>
        <w:r>
          <w:rPr>
            <w:noProof/>
            <w:webHidden/>
          </w:rPr>
          <w:t>54</w:t>
        </w:r>
        <w:r>
          <w:rPr>
            <w:noProof/>
            <w:webHidden/>
          </w:rPr>
          <w:fldChar w:fldCharType="end"/>
        </w:r>
      </w:hyperlink>
    </w:p>
    <w:p w14:paraId="3BEFA978" w14:textId="5F3D595F" w:rsidR="00CE5620" w:rsidRDefault="00CE5620">
      <w:pPr>
        <w:pStyle w:val="TOC1"/>
        <w:rPr>
          <w:rFonts w:asciiTheme="minorHAnsi" w:eastAsiaTheme="minorEastAsia" w:hAnsiTheme="minorHAnsi" w:cstheme="minorBidi"/>
          <w:noProof/>
          <w:kern w:val="2"/>
          <w:sz w:val="24"/>
          <w:szCs w:val="24"/>
          <w:lang w:val="en-CH" w:eastAsia="zh-CN"/>
          <w14:ligatures w14:val="standardContextual"/>
        </w:rPr>
      </w:pPr>
      <w:hyperlink w:anchor="_Toc242471417" w:history="1">
        <w:r w:rsidRPr="00FF2D45">
          <w:rPr>
            <w:rStyle w:val="Hyperlink"/>
            <w:rFonts w:cstheme="minorHAnsi"/>
            <w:noProof/>
            <w:highlight w:val="cyan"/>
          </w:rPr>
          <w:t>APPENDIX E</w:t>
        </w:r>
        <w:r w:rsidRPr="00FF2D45">
          <w:rPr>
            <w:rStyle w:val="Hyperlink"/>
            <w:rFonts w:cstheme="minorHAnsi"/>
            <w:noProof/>
          </w:rPr>
          <w:t xml:space="preserve"> – BATTERY CELL TECHNICAL SPECIFICATIONS (DESIGNATED CELL)</w:t>
        </w:r>
        <w:r>
          <w:rPr>
            <w:noProof/>
            <w:webHidden/>
          </w:rPr>
          <w:tab/>
        </w:r>
        <w:r>
          <w:rPr>
            <w:noProof/>
            <w:webHidden/>
          </w:rPr>
          <w:fldChar w:fldCharType="begin"/>
        </w:r>
        <w:r>
          <w:rPr>
            <w:noProof/>
            <w:webHidden/>
          </w:rPr>
          <w:instrText xml:space="preserve"> PAGEREF _Toc242471417 \h </w:instrText>
        </w:r>
        <w:r>
          <w:rPr>
            <w:noProof/>
            <w:webHidden/>
          </w:rPr>
        </w:r>
        <w:r>
          <w:rPr>
            <w:noProof/>
            <w:webHidden/>
          </w:rPr>
          <w:fldChar w:fldCharType="separate"/>
        </w:r>
        <w:r>
          <w:rPr>
            <w:noProof/>
            <w:webHidden/>
          </w:rPr>
          <w:t>56</w:t>
        </w:r>
        <w:r>
          <w:rPr>
            <w:noProof/>
            <w:webHidden/>
          </w:rPr>
          <w:fldChar w:fldCharType="end"/>
        </w:r>
      </w:hyperlink>
    </w:p>
    <w:p w14:paraId="74452DFE" w14:textId="73880A51" w:rsidR="00CE5620" w:rsidRDefault="00CE5620">
      <w:pPr>
        <w:pStyle w:val="TOC1"/>
        <w:rPr>
          <w:rFonts w:asciiTheme="minorHAnsi" w:eastAsiaTheme="minorEastAsia" w:hAnsiTheme="minorHAnsi" w:cstheme="minorBidi"/>
          <w:noProof/>
          <w:kern w:val="2"/>
          <w:sz w:val="24"/>
          <w:szCs w:val="24"/>
          <w:lang w:val="en-CH" w:eastAsia="zh-CN"/>
          <w14:ligatures w14:val="standardContextual"/>
        </w:rPr>
      </w:pPr>
      <w:hyperlink w:anchor="_Toc242471418" w:history="1">
        <w:r w:rsidRPr="00FF2D45">
          <w:rPr>
            <w:rStyle w:val="Hyperlink"/>
            <w:rFonts w:cstheme="minorHAnsi"/>
            <w:noProof/>
            <w:highlight w:val="cyan"/>
          </w:rPr>
          <w:t>APPENDIX F</w:t>
        </w:r>
        <w:r w:rsidRPr="00FF2D45">
          <w:rPr>
            <w:rStyle w:val="Hyperlink"/>
            <w:rFonts w:cstheme="minorHAnsi"/>
            <w:noProof/>
          </w:rPr>
          <w:t xml:space="preserve"> – FACTORY ACCEPTANCE TESTING (INSPECTION)</w:t>
        </w:r>
        <w:r>
          <w:rPr>
            <w:noProof/>
            <w:webHidden/>
          </w:rPr>
          <w:tab/>
        </w:r>
        <w:r>
          <w:rPr>
            <w:noProof/>
            <w:webHidden/>
          </w:rPr>
          <w:fldChar w:fldCharType="begin"/>
        </w:r>
        <w:r>
          <w:rPr>
            <w:noProof/>
            <w:webHidden/>
          </w:rPr>
          <w:instrText xml:space="preserve"> PAGEREF _Toc242471418 \h </w:instrText>
        </w:r>
        <w:r>
          <w:rPr>
            <w:noProof/>
            <w:webHidden/>
          </w:rPr>
        </w:r>
        <w:r>
          <w:rPr>
            <w:noProof/>
            <w:webHidden/>
          </w:rPr>
          <w:fldChar w:fldCharType="separate"/>
        </w:r>
        <w:r>
          <w:rPr>
            <w:noProof/>
            <w:webHidden/>
          </w:rPr>
          <w:t>58</w:t>
        </w:r>
        <w:r>
          <w:rPr>
            <w:noProof/>
            <w:webHidden/>
          </w:rPr>
          <w:fldChar w:fldCharType="end"/>
        </w:r>
      </w:hyperlink>
    </w:p>
    <w:p w14:paraId="1D025B77" w14:textId="4AC1569D" w:rsidR="00CE5620" w:rsidRDefault="00CE5620">
      <w:pPr>
        <w:pStyle w:val="TOC1"/>
        <w:rPr>
          <w:rFonts w:asciiTheme="minorHAnsi" w:eastAsiaTheme="minorEastAsia" w:hAnsiTheme="minorHAnsi" w:cstheme="minorBidi"/>
          <w:noProof/>
          <w:kern w:val="2"/>
          <w:sz w:val="24"/>
          <w:szCs w:val="24"/>
          <w:lang w:val="en-CH" w:eastAsia="zh-CN"/>
          <w14:ligatures w14:val="standardContextual"/>
        </w:rPr>
      </w:pPr>
      <w:hyperlink w:anchor="_Toc242471419" w:history="1">
        <w:r w:rsidRPr="00FF2D45">
          <w:rPr>
            <w:rStyle w:val="Hyperlink"/>
            <w:rFonts w:cstheme="minorHAnsi"/>
            <w:noProof/>
            <w:highlight w:val="cyan"/>
          </w:rPr>
          <w:t>APPENDIX G</w:t>
        </w:r>
        <w:r w:rsidRPr="00FF2D45">
          <w:rPr>
            <w:rStyle w:val="Hyperlink"/>
            <w:rFonts w:cstheme="minorHAnsi"/>
            <w:noProof/>
          </w:rPr>
          <w:t xml:space="preserve"> – BESS WARRANTY</w:t>
        </w:r>
        <w:r>
          <w:rPr>
            <w:noProof/>
            <w:webHidden/>
          </w:rPr>
          <w:tab/>
        </w:r>
        <w:r>
          <w:rPr>
            <w:noProof/>
            <w:webHidden/>
          </w:rPr>
          <w:fldChar w:fldCharType="begin"/>
        </w:r>
        <w:r>
          <w:rPr>
            <w:noProof/>
            <w:webHidden/>
          </w:rPr>
          <w:instrText xml:space="preserve"> PAGEREF _Toc242471419 \h </w:instrText>
        </w:r>
        <w:r>
          <w:rPr>
            <w:noProof/>
            <w:webHidden/>
          </w:rPr>
        </w:r>
        <w:r>
          <w:rPr>
            <w:noProof/>
            <w:webHidden/>
          </w:rPr>
          <w:fldChar w:fldCharType="separate"/>
        </w:r>
        <w:r>
          <w:rPr>
            <w:noProof/>
            <w:webHidden/>
          </w:rPr>
          <w:t>61</w:t>
        </w:r>
        <w:r>
          <w:rPr>
            <w:noProof/>
            <w:webHidden/>
          </w:rPr>
          <w:fldChar w:fldCharType="end"/>
        </w:r>
      </w:hyperlink>
    </w:p>
    <w:p w14:paraId="7E7BB72C" w14:textId="79344369" w:rsidR="00CE5620" w:rsidRDefault="00CE5620">
      <w:pPr>
        <w:pStyle w:val="TOC1"/>
        <w:rPr>
          <w:rFonts w:asciiTheme="minorHAnsi" w:eastAsiaTheme="minorEastAsia" w:hAnsiTheme="minorHAnsi" w:cstheme="minorBidi"/>
          <w:noProof/>
          <w:kern w:val="2"/>
          <w:sz w:val="24"/>
          <w:szCs w:val="24"/>
          <w:lang w:val="en-CH" w:eastAsia="zh-CN"/>
          <w14:ligatures w14:val="standardContextual"/>
        </w:rPr>
      </w:pPr>
      <w:hyperlink w:anchor="_Toc242471420" w:history="1">
        <w:r w:rsidRPr="00FF2D45">
          <w:rPr>
            <w:rStyle w:val="Hyperlink"/>
            <w:rFonts w:cstheme="minorHAnsi"/>
            <w:noProof/>
            <w:highlight w:val="cyan"/>
          </w:rPr>
          <w:t>APPENDIX H</w:t>
        </w:r>
        <w:r w:rsidRPr="00FF2D45">
          <w:rPr>
            <w:rStyle w:val="Hyperlink"/>
            <w:rFonts w:cstheme="minorHAnsi"/>
            <w:noProof/>
          </w:rPr>
          <w:t xml:space="preserve"> – BESS QUALITY STANDARDS</w:t>
        </w:r>
        <w:r>
          <w:rPr>
            <w:noProof/>
            <w:webHidden/>
          </w:rPr>
          <w:tab/>
        </w:r>
        <w:r>
          <w:rPr>
            <w:noProof/>
            <w:webHidden/>
          </w:rPr>
          <w:fldChar w:fldCharType="begin"/>
        </w:r>
        <w:r>
          <w:rPr>
            <w:noProof/>
            <w:webHidden/>
          </w:rPr>
          <w:instrText xml:space="preserve"> PAGEREF _Toc242471420 \h </w:instrText>
        </w:r>
        <w:r>
          <w:rPr>
            <w:noProof/>
            <w:webHidden/>
          </w:rPr>
        </w:r>
        <w:r>
          <w:rPr>
            <w:noProof/>
            <w:webHidden/>
          </w:rPr>
          <w:fldChar w:fldCharType="separate"/>
        </w:r>
        <w:r>
          <w:rPr>
            <w:noProof/>
            <w:webHidden/>
          </w:rPr>
          <w:t>64</w:t>
        </w:r>
        <w:r>
          <w:rPr>
            <w:noProof/>
            <w:webHidden/>
          </w:rPr>
          <w:fldChar w:fldCharType="end"/>
        </w:r>
      </w:hyperlink>
    </w:p>
    <w:p w14:paraId="6B2F161B" w14:textId="736560EC" w:rsidR="00CE5620" w:rsidRDefault="00CE5620">
      <w:pPr>
        <w:pStyle w:val="TOC1"/>
        <w:rPr>
          <w:rFonts w:asciiTheme="minorHAnsi" w:eastAsiaTheme="minorEastAsia" w:hAnsiTheme="minorHAnsi" w:cstheme="minorBidi"/>
          <w:noProof/>
          <w:kern w:val="2"/>
          <w:sz w:val="24"/>
          <w:szCs w:val="24"/>
          <w:lang w:val="en-CH" w:eastAsia="zh-CN"/>
          <w14:ligatures w14:val="standardContextual"/>
        </w:rPr>
      </w:pPr>
      <w:hyperlink w:anchor="_Toc242471421" w:history="1">
        <w:r w:rsidRPr="00FF2D45">
          <w:rPr>
            <w:rStyle w:val="Hyperlink"/>
            <w:rFonts w:cstheme="minorHAnsi"/>
            <w:noProof/>
            <w:highlight w:val="cyan"/>
          </w:rPr>
          <w:t>APPENDIX I</w:t>
        </w:r>
        <w:r w:rsidRPr="00FF2D45">
          <w:rPr>
            <w:rStyle w:val="Hyperlink"/>
            <w:rFonts w:cstheme="minorHAnsi"/>
            <w:noProof/>
          </w:rPr>
          <w:t xml:space="preserve"> – DELIVERY SCHEDULE</w:t>
        </w:r>
        <w:r>
          <w:rPr>
            <w:noProof/>
            <w:webHidden/>
          </w:rPr>
          <w:tab/>
        </w:r>
        <w:r>
          <w:rPr>
            <w:noProof/>
            <w:webHidden/>
          </w:rPr>
          <w:fldChar w:fldCharType="begin"/>
        </w:r>
        <w:r>
          <w:rPr>
            <w:noProof/>
            <w:webHidden/>
          </w:rPr>
          <w:instrText xml:space="preserve"> PAGEREF _Toc242471421 \h </w:instrText>
        </w:r>
        <w:r>
          <w:rPr>
            <w:noProof/>
            <w:webHidden/>
          </w:rPr>
        </w:r>
        <w:r>
          <w:rPr>
            <w:noProof/>
            <w:webHidden/>
          </w:rPr>
          <w:fldChar w:fldCharType="separate"/>
        </w:r>
        <w:r>
          <w:rPr>
            <w:noProof/>
            <w:webHidden/>
          </w:rPr>
          <w:t>66</w:t>
        </w:r>
        <w:r>
          <w:rPr>
            <w:noProof/>
            <w:webHidden/>
          </w:rPr>
          <w:fldChar w:fldCharType="end"/>
        </w:r>
      </w:hyperlink>
    </w:p>
    <w:p w14:paraId="08700512" w14:textId="3C00523F" w:rsidR="00CE5620" w:rsidRDefault="00CE5620">
      <w:pPr>
        <w:pStyle w:val="TOC1"/>
        <w:rPr>
          <w:rFonts w:asciiTheme="minorHAnsi" w:eastAsiaTheme="minorEastAsia" w:hAnsiTheme="minorHAnsi" w:cstheme="minorBidi"/>
          <w:noProof/>
          <w:kern w:val="2"/>
          <w:sz w:val="24"/>
          <w:szCs w:val="24"/>
          <w:lang w:val="en-CH" w:eastAsia="zh-CN"/>
          <w14:ligatures w14:val="standardContextual"/>
        </w:rPr>
      </w:pPr>
      <w:hyperlink w:anchor="_Toc242471422" w:history="1">
        <w:r w:rsidRPr="00FF2D45">
          <w:rPr>
            <w:rStyle w:val="Hyperlink"/>
            <w:rFonts w:cstheme="minorHAnsi"/>
            <w:noProof/>
            <w:highlight w:val="cyan"/>
          </w:rPr>
          <w:t>APPENDIX J</w:t>
        </w:r>
        <w:r w:rsidRPr="00FF2D45">
          <w:rPr>
            <w:rStyle w:val="Hyperlink"/>
            <w:rFonts w:cstheme="minorHAnsi"/>
            <w:noProof/>
          </w:rPr>
          <w:t xml:space="preserve"> – SITE ACCEPTANCE TESTING</w:t>
        </w:r>
        <w:r>
          <w:rPr>
            <w:noProof/>
            <w:webHidden/>
          </w:rPr>
          <w:tab/>
        </w:r>
        <w:r>
          <w:rPr>
            <w:noProof/>
            <w:webHidden/>
          </w:rPr>
          <w:fldChar w:fldCharType="begin"/>
        </w:r>
        <w:r>
          <w:rPr>
            <w:noProof/>
            <w:webHidden/>
          </w:rPr>
          <w:instrText xml:space="preserve"> PAGEREF _Toc242471422 \h </w:instrText>
        </w:r>
        <w:r>
          <w:rPr>
            <w:noProof/>
            <w:webHidden/>
          </w:rPr>
        </w:r>
        <w:r>
          <w:rPr>
            <w:noProof/>
            <w:webHidden/>
          </w:rPr>
          <w:fldChar w:fldCharType="separate"/>
        </w:r>
        <w:r>
          <w:rPr>
            <w:noProof/>
            <w:webHidden/>
          </w:rPr>
          <w:t>67</w:t>
        </w:r>
        <w:r>
          <w:rPr>
            <w:noProof/>
            <w:webHidden/>
          </w:rPr>
          <w:fldChar w:fldCharType="end"/>
        </w:r>
      </w:hyperlink>
    </w:p>
    <w:p w14:paraId="4C7F2F5F" w14:textId="49D100AE" w:rsidR="00CE5620" w:rsidRDefault="00CE5620">
      <w:pPr>
        <w:pStyle w:val="TOC1"/>
        <w:rPr>
          <w:rFonts w:asciiTheme="minorHAnsi" w:eastAsiaTheme="minorEastAsia" w:hAnsiTheme="minorHAnsi" w:cstheme="minorBidi"/>
          <w:noProof/>
          <w:kern w:val="2"/>
          <w:sz w:val="24"/>
          <w:szCs w:val="24"/>
          <w:lang w:val="en-CH" w:eastAsia="zh-CN"/>
          <w14:ligatures w14:val="standardContextual"/>
        </w:rPr>
      </w:pPr>
      <w:hyperlink w:anchor="_Toc242471423" w:history="1">
        <w:r w:rsidRPr="00FF2D45">
          <w:rPr>
            <w:rStyle w:val="Hyperlink"/>
            <w:rFonts w:cstheme="minorHAnsi"/>
            <w:noProof/>
            <w:highlight w:val="cyan"/>
          </w:rPr>
          <w:t>APPENDIX K</w:t>
        </w:r>
        <w:r w:rsidRPr="00FF2D45">
          <w:rPr>
            <w:rStyle w:val="Hyperlink"/>
            <w:rFonts w:cstheme="minorHAnsi"/>
            <w:noProof/>
          </w:rPr>
          <w:t xml:space="preserve"> – PAYMENT SCHEDULE</w:t>
        </w:r>
        <w:r>
          <w:rPr>
            <w:noProof/>
            <w:webHidden/>
          </w:rPr>
          <w:tab/>
        </w:r>
        <w:r>
          <w:rPr>
            <w:noProof/>
            <w:webHidden/>
          </w:rPr>
          <w:fldChar w:fldCharType="begin"/>
        </w:r>
        <w:r>
          <w:rPr>
            <w:noProof/>
            <w:webHidden/>
          </w:rPr>
          <w:instrText xml:space="preserve"> PAGEREF _Toc242471423 \h </w:instrText>
        </w:r>
        <w:r>
          <w:rPr>
            <w:noProof/>
            <w:webHidden/>
          </w:rPr>
        </w:r>
        <w:r>
          <w:rPr>
            <w:noProof/>
            <w:webHidden/>
          </w:rPr>
          <w:fldChar w:fldCharType="separate"/>
        </w:r>
        <w:r>
          <w:rPr>
            <w:noProof/>
            <w:webHidden/>
          </w:rPr>
          <w:t>68</w:t>
        </w:r>
        <w:r>
          <w:rPr>
            <w:noProof/>
            <w:webHidden/>
          </w:rPr>
          <w:fldChar w:fldCharType="end"/>
        </w:r>
      </w:hyperlink>
    </w:p>
    <w:p w14:paraId="46493351" w14:textId="00F5A359" w:rsidR="00CE5620" w:rsidRDefault="00CE5620">
      <w:pPr>
        <w:pStyle w:val="TOC1"/>
        <w:rPr>
          <w:rFonts w:asciiTheme="minorHAnsi" w:eastAsiaTheme="minorEastAsia" w:hAnsiTheme="minorHAnsi" w:cstheme="minorBidi"/>
          <w:noProof/>
          <w:kern w:val="2"/>
          <w:sz w:val="24"/>
          <w:szCs w:val="24"/>
          <w:lang w:val="en-CH" w:eastAsia="zh-CN"/>
          <w14:ligatures w14:val="standardContextual"/>
        </w:rPr>
      </w:pPr>
      <w:hyperlink w:anchor="_Toc242471424" w:history="1">
        <w:r w:rsidRPr="00FF2D45">
          <w:rPr>
            <w:rStyle w:val="Hyperlink"/>
            <w:rFonts w:cstheme="minorHAnsi"/>
            <w:noProof/>
            <w:highlight w:val="cyan"/>
          </w:rPr>
          <w:t>APPENDIX L</w:t>
        </w:r>
        <w:r w:rsidRPr="00FF2D45">
          <w:rPr>
            <w:rStyle w:val="Hyperlink"/>
            <w:rFonts w:cstheme="minorHAnsi"/>
            <w:noProof/>
          </w:rPr>
          <w:t xml:space="preserve"> – DATA MONITORING</w:t>
        </w:r>
        <w:r>
          <w:rPr>
            <w:noProof/>
            <w:webHidden/>
          </w:rPr>
          <w:tab/>
        </w:r>
        <w:r>
          <w:rPr>
            <w:noProof/>
            <w:webHidden/>
          </w:rPr>
          <w:fldChar w:fldCharType="begin"/>
        </w:r>
        <w:r>
          <w:rPr>
            <w:noProof/>
            <w:webHidden/>
          </w:rPr>
          <w:instrText xml:space="preserve"> PAGEREF _Toc242471424 \h </w:instrText>
        </w:r>
        <w:r>
          <w:rPr>
            <w:noProof/>
            <w:webHidden/>
          </w:rPr>
        </w:r>
        <w:r>
          <w:rPr>
            <w:noProof/>
            <w:webHidden/>
          </w:rPr>
          <w:fldChar w:fldCharType="separate"/>
        </w:r>
        <w:r>
          <w:rPr>
            <w:noProof/>
            <w:webHidden/>
          </w:rPr>
          <w:t>69</w:t>
        </w:r>
        <w:r>
          <w:rPr>
            <w:noProof/>
            <w:webHidden/>
          </w:rPr>
          <w:fldChar w:fldCharType="end"/>
        </w:r>
      </w:hyperlink>
    </w:p>
    <w:p w14:paraId="0142822C" w14:textId="07C39B88" w:rsidR="00CE5620" w:rsidRDefault="00CE5620">
      <w:pPr>
        <w:pStyle w:val="TOC1"/>
        <w:rPr>
          <w:rFonts w:asciiTheme="minorHAnsi" w:eastAsiaTheme="minorEastAsia" w:hAnsiTheme="minorHAnsi" w:cstheme="minorBidi"/>
          <w:noProof/>
          <w:kern w:val="2"/>
          <w:sz w:val="24"/>
          <w:szCs w:val="24"/>
          <w:lang w:val="en-CH" w:eastAsia="zh-CN"/>
          <w14:ligatures w14:val="standardContextual"/>
        </w:rPr>
      </w:pPr>
      <w:hyperlink w:anchor="_Toc242471425" w:history="1">
        <w:r w:rsidRPr="00FF2D45">
          <w:rPr>
            <w:rStyle w:val="Hyperlink"/>
            <w:rFonts w:cstheme="minorHAnsi"/>
            <w:noProof/>
            <w:highlight w:val="cyan"/>
          </w:rPr>
          <w:t>APPENDIX M</w:t>
        </w:r>
        <w:r w:rsidRPr="00FF2D45">
          <w:rPr>
            <w:rStyle w:val="Hyperlink"/>
            <w:rFonts w:cstheme="minorHAnsi"/>
            <w:noProof/>
          </w:rPr>
          <w:t xml:space="preserve"> – BATTERY ANALYTICS SOLUTIONS QUALITY CONTROL PROCESS</w:t>
        </w:r>
        <w:r>
          <w:rPr>
            <w:noProof/>
            <w:webHidden/>
          </w:rPr>
          <w:tab/>
        </w:r>
        <w:r>
          <w:rPr>
            <w:noProof/>
            <w:webHidden/>
          </w:rPr>
          <w:fldChar w:fldCharType="begin"/>
        </w:r>
        <w:r>
          <w:rPr>
            <w:noProof/>
            <w:webHidden/>
          </w:rPr>
          <w:instrText xml:space="preserve"> PAGEREF _Toc242471425 \h </w:instrText>
        </w:r>
        <w:r>
          <w:rPr>
            <w:noProof/>
            <w:webHidden/>
          </w:rPr>
        </w:r>
        <w:r>
          <w:rPr>
            <w:noProof/>
            <w:webHidden/>
          </w:rPr>
          <w:fldChar w:fldCharType="separate"/>
        </w:r>
        <w:r>
          <w:rPr>
            <w:noProof/>
            <w:webHidden/>
          </w:rPr>
          <w:t>72</w:t>
        </w:r>
        <w:r>
          <w:rPr>
            <w:noProof/>
            <w:webHidden/>
          </w:rPr>
          <w:fldChar w:fldCharType="end"/>
        </w:r>
      </w:hyperlink>
    </w:p>
    <w:p w14:paraId="6F8879FE" w14:textId="0711BC8F" w:rsidR="00CE5620" w:rsidRDefault="00CE5620">
      <w:pPr>
        <w:pStyle w:val="TOC1"/>
        <w:rPr>
          <w:rFonts w:asciiTheme="minorHAnsi" w:eastAsiaTheme="minorEastAsia" w:hAnsiTheme="minorHAnsi" w:cstheme="minorBidi"/>
          <w:noProof/>
          <w:kern w:val="2"/>
          <w:sz w:val="24"/>
          <w:szCs w:val="24"/>
          <w:lang w:val="en-CH" w:eastAsia="zh-CN"/>
          <w14:ligatures w14:val="standardContextual"/>
        </w:rPr>
      </w:pPr>
      <w:hyperlink w:anchor="_Toc242471426" w:history="1">
        <w:r w:rsidRPr="00FF2D45">
          <w:rPr>
            <w:rStyle w:val="Hyperlink"/>
            <w:rFonts w:cstheme="minorHAnsi"/>
            <w:noProof/>
            <w:highlight w:val="cyan"/>
          </w:rPr>
          <w:t>APPENDIX N</w:t>
        </w:r>
        <w:r w:rsidRPr="00FF2D45">
          <w:rPr>
            <w:rStyle w:val="Hyperlink"/>
            <w:rFonts w:cstheme="minorHAnsi"/>
            <w:noProof/>
          </w:rPr>
          <w:t xml:space="preserve"> – BESS CALIBRATION AND MAINTENANCE PROTOCOLS</w:t>
        </w:r>
        <w:r>
          <w:rPr>
            <w:noProof/>
            <w:webHidden/>
          </w:rPr>
          <w:tab/>
        </w:r>
        <w:r>
          <w:rPr>
            <w:noProof/>
            <w:webHidden/>
          </w:rPr>
          <w:fldChar w:fldCharType="begin"/>
        </w:r>
        <w:r>
          <w:rPr>
            <w:noProof/>
            <w:webHidden/>
          </w:rPr>
          <w:instrText xml:space="preserve"> PAGEREF _Toc242471426 \h </w:instrText>
        </w:r>
        <w:r>
          <w:rPr>
            <w:noProof/>
            <w:webHidden/>
          </w:rPr>
        </w:r>
        <w:r>
          <w:rPr>
            <w:noProof/>
            <w:webHidden/>
          </w:rPr>
          <w:fldChar w:fldCharType="separate"/>
        </w:r>
        <w:r>
          <w:rPr>
            <w:noProof/>
            <w:webHidden/>
          </w:rPr>
          <w:t>75</w:t>
        </w:r>
        <w:r>
          <w:rPr>
            <w:noProof/>
            <w:webHidden/>
          </w:rPr>
          <w:fldChar w:fldCharType="end"/>
        </w:r>
      </w:hyperlink>
    </w:p>
    <w:p w14:paraId="61BD0553" w14:textId="73075EE7" w:rsidR="00CE5620" w:rsidRDefault="00CE5620">
      <w:pPr>
        <w:pStyle w:val="TOC1"/>
        <w:rPr>
          <w:rFonts w:asciiTheme="minorHAnsi" w:eastAsiaTheme="minorEastAsia" w:hAnsiTheme="minorHAnsi" w:cstheme="minorBidi"/>
          <w:noProof/>
          <w:kern w:val="2"/>
          <w:sz w:val="24"/>
          <w:szCs w:val="24"/>
          <w:lang w:val="en-CH" w:eastAsia="zh-CN"/>
          <w14:ligatures w14:val="standardContextual"/>
        </w:rPr>
      </w:pPr>
      <w:hyperlink w:anchor="_Toc242471427" w:history="1">
        <w:r w:rsidRPr="00FF2D45">
          <w:rPr>
            <w:rStyle w:val="Hyperlink"/>
            <w:rFonts w:cstheme="minorHAnsi"/>
            <w:noProof/>
            <w:highlight w:val="cyan"/>
          </w:rPr>
          <w:t>APPENDIX O</w:t>
        </w:r>
        <w:r w:rsidRPr="00FF2D45">
          <w:rPr>
            <w:rStyle w:val="Hyperlink"/>
            <w:rFonts w:cstheme="minorHAnsi"/>
            <w:noProof/>
          </w:rPr>
          <w:t xml:space="preserve"> – BATTERY CELL LABORATORY TESTING</w:t>
        </w:r>
        <w:r>
          <w:rPr>
            <w:noProof/>
            <w:webHidden/>
          </w:rPr>
          <w:tab/>
        </w:r>
        <w:r>
          <w:rPr>
            <w:noProof/>
            <w:webHidden/>
          </w:rPr>
          <w:fldChar w:fldCharType="begin"/>
        </w:r>
        <w:r>
          <w:rPr>
            <w:noProof/>
            <w:webHidden/>
          </w:rPr>
          <w:instrText xml:space="preserve"> PAGEREF _Toc242471427 \h </w:instrText>
        </w:r>
        <w:r>
          <w:rPr>
            <w:noProof/>
            <w:webHidden/>
          </w:rPr>
        </w:r>
        <w:r>
          <w:rPr>
            <w:noProof/>
            <w:webHidden/>
          </w:rPr>
          <w:fldChar w:fldCharType="separate"/>
        </w:r>
        <w:r>
          <w:rPr>
            <w:noProof/>
            <w:webHidden/>
          </w:rPr>
          <w:t>76</w:t>
        </w:r>
        <w:r>
          <w:rPr>
            <w:noProof/>
            <w:webHidden/>
          </w:rPr>
          <w:fldChar w:fldCharType="end"/>
        </w:r>
      </w:hyperlink>
    </w:p>
    <w:p w14:paraId="2B8236B7" w14:textId="6BD35B1E" w:rsidR="00CE5620" w:rsidRDefault="00CE5620">
      <w:pPr>
        <w:pStyle w:val="TOC1"/>
        <w:rPr>
          <w:rFonts w:asciiTheme="minorHAnsi" w:eastAsiaTheme="minorEastAsia" w:hAnsiTheme="minorHAnsi" w:cstheme="minorBidi"/>
          <w:noProof/>
          <w:kern w:val="2"/>
          <w:sz w:val="24"/>
          <w:szCs w:val="24"/>
          <w:lang w:val="en-CH" w:eastAsia="zh-CN"/>
          <w14:ligatures w14:val="standardContextual"/>
        </w:rPr>
      </w:pPr>
      <w:hyperlink w:anchor="_Toc242471428" w:history="1">
        <w:r w:rsidRPr="00FF2D45">
          <w:rPr>
            <w:rStyle w:val="Hyperlink"/>
            <w:rFonts w:cstheme="minorHAnsi"/>
            <w:noProof/>
            <w:highlight w:val="cyan"/>
          </w:rPr>
          <w:t>APPENDIX P</w:t>
        </w:r>
        <w:r w:rsidRPr="00FF2D45">
          <w:rPr>
            <w:rStyle w:val="Hyperlink"/>
            <w:rFonts w:cstheme="minorHAnsi"/>
            <w:noProof/>
          </w:rPr>
          <w:t xml:space="preserve"> – SUPPORT, SERVICE LEVELS AND SPARE PARTS</w:t>
        </w:r>
        <w:r>
          <w:rPr>
            <w:noProof/>
            <w:webHidden/>
          </w:rPr>
          <w:tab/>
        </w:r>
        <w:r>
          <w:rPr>
            <w:noProof/>
            <w:webHidden/>
          </w:rPr>
          <w:fldChar w:fldCharType="begin"/>
        </w:r>
        <w:r>
          <w:rPr>
            <w:noProof/>
            <w:webHidden/>
          </w:rPr>
          <w:instrText xml:space="preserve"> PAGEREF _Toc242471428 \h </w:instrText>
        </w:r>
        <w:r>
          <w:rPr>
            <w:noProof/>
            <w:webHidden/>
          </w:rPr>
        </w:r>
        <w:r>
          <w:rPr>
            <w:noProof/>
            <w:webHidden/>
          </w:rPr>
          <w:fldChar w:fldCharType="separate"/>
        </w:r>
        <w:r>
          <w:rPr>
            <w:noProof/>
            <w:webHidden/>
          </w:rPr>
          <w:t>80</w:t>
        </w:r>
        <w:r>
          <w:rPr>
            <w:noProof/>
            <w:webHidden/>
          </w:rPr>
          <w:fldChar w:fldCharType="end"/>
        </w:r>
      </w:hyperlink>
    </w:p>
    <w:p w14:paraId="3D79E418" w14:textId="1C6B069E" w:rsidR="00CE5620" w:rsidRDefault="00CE5620">
      <w:pPr>
        <w:pStyle w:val="TOC1"/>
        <w:rPr>
          <w:rFonts w:asciiTheme="minorHAnsi" w:eastAsiaTheme="minorEastAsia" w:hAnsiTheme="minorHAnsi" w:cstheme="minorBidi"/>
          <w:noProof/>
          <w:kern w:val="2"/>
          <w:sz w:val="24"/>
          <w:szCs w:val="24"/>
          <w:lang w:val="en-CH" w:eastAsia="zh-CN"/>
          <w14:ligatures w14:val="standardContextual"/>
        </w:rPr>
      </w:pPr>
      <w:hyperlink w:anchor="_Toc242471429" w:history="1">
        <w:r w:rsidRPr="00FF2D45">
          <w:rPr>
            <w:rStyle w:val="Hyperlink"/>
            <w:rFonts w:cstheme="minorHAnsi"/>
            <w:noProof/>
            <w:highlight w:val="cyan"/>
          </w:rPr>
          <w:t>APPENDIX Q</w:t>
        </w:r>
        <w:r w:rsidRPr="00FF2D45">
          <w:rPr>
            <w:rStyle w:val="Hyperlink"/>
            <w:rFonts w:cstheme="minorHAnsi"/>
            <w:noProof/>
          </w:rPr>
          <w:t xml:space="preserve"> – AGREED FORM OF PARENT COMPANY GUARANTEE (TO BE ATTACHED)</w:t>
        </w:r>
        <w:r>
          <w:rPr>
            <w:noProof/>
            <w:webHidden/>
          </w:rPr>
          <w:tab/>
        </w:r>
        <w:r>
          <w:rPr>
            <w:noProof/>
            <w:webHidden/>
          </w:rPr>
          <w:fldChar w:fldCharType="begin"/>
        </w:r>
        <w:r>
          <w:rPr>
            <w:noProof/>
            <w:webHidden/>
          </w:rPr>
          <w:instrText xml:space="preserve"> PAGEREF _Toc242471429 \h </w:instrText>
        </w:r>
        <w:r>
          <w:rPr>
            <w:noProof/>
            <w:webHidden/>
          </w:rPr>
        </w:r>
        <w:r>
          <w:rPr>
            <w:noProof/>
            <w:webHidden/>
          </w:rPr>
          <w:fldChar w:fldCharType="separate"/>
        </w:r>
        <w:r>
          <w:rPr>
            <w:noProof/>
            <w:webHidden/>
          </w:rPr>
          <w:t>81</w:t>
        </w:r>
        <w:r>
          <w:rPr>
            <w:noProof/>
            <w:webHidden/>
          </w:rPr>
          <w:fldChar w:fldCharType="end"/>
        </w:r>
      </w:hyperlink>
    </w:p>
    <w:p w14:paraId="08304FDA" w14:textId="2A54A1F9" w:rsidR="00CE5620" w:rsidRDefault="00CE5620">
      <w:pPr>
        <w:pStyle w:val="TOC1"/>
        <w:rPr>
          <w:rFonts w:asciiTheme="minorHAnsi" w:eastAsiaTheme="minorEastAsia" w:hAnsiTheme="minorHAnsi" w:cstheme="minorBidi"/>
          <w:noProof/>
          <w:kern w:val="2"/>
          <w:sz w:val="24"/>
          <w:szCs w:val="24"/>
          <w:lang w:val="en-CH" w:eastAsia="zh-CN"/>
          <w14:ligatures w14:val="standardContextual"/>
        </w:rPr>
      </w:pPr>
      <w:hyperlink w:anchor="_Toc242471430" w:history="1">
        <w:r w:rsidRPr="00FF2D45">
          <w:rPr>
            <w:rStyle w:val="Hyperlink"/>
            <w:rFonts w:cstheme="minorHAnsi"/>
            <w:noProof/>
            <w:highlight w:val="cyan"/>
          </w:rPr>
          <w:t>APPENDIX R</w:t>
        </w:r>
        <w:r w:rsidRPr="00FF2D45">
          <w:rPr>
            <w:rStyle w:val="Hyperlink"/>
            <w:rFonts w:cstheme="minorHAnsi"/>
            <w:noProof/>
          </w:rPr>
          <w:t xml:space="preserve"> – CRITICAL COMPONENT LIST AND MANUFACTURING LOCATIONS</w:t>
        </w:r>
        <w:r>
          <w:rPr>
            <w:noProof/>
            <w:webHidden/>
          </w:rPr>
          <w:tab/>
        </w:r>
        <w:r>
          <w:rPr>
            <w:noProof/>
            <w:webHidden/>
          </w:rPr>
          <w:fldChar w:fldCharType="begin"/>
        </w:r>
        <w:r>
          <w:rPr>
            <w:noProof/>
            <w:webHidden/>
          </w:rPr>
          <w:instrText xml:space="preserve"> PAGEREF _Toc242471430 \h </w:instrText>
        </w:r>
        <w:r>
          <w:rPr>
            <w:noProof/>
            <w:webHidden/>
          </w:rPr>
        </w:r>
        <w:r>
          <w:rPr>
            <w:noProof/>
            <w:webHidden/>
          </w:rPr>
          <w:fldChar w:fldCharType="separate"/>
        </w:r>
        <w:r>
          <w:rPr>
            <w:noProof/>
            <w:webHidden/>
          </w:rPr>
          <w:t>82</w:t>
        </w:r>
        <w:r>
          <w:rPr>
            <w:noProof/>
            <w:webHidden/>
          </w:rPr>
          <w:fldChar w:fldCharType="end"/>
        </w:r>
      </w:hyperlink>
    </w:p>
    <w:p w14:paraId="40741D96" w14:textId="416A67FC" w:rsidR="00CE5620" w:rsidRDefault="00CE5620">
      <w:pPr>
        <w:pStyle w:val="TOC1"/>
        <w:rPr>
          <w:rFonts w:asciiTheme="minorHAnsi" w:eastAsiaTheme="minorEastAsia" w:hAnsiTheme="minorHAnsi" w:cstheme="minorBidi"/>
          <w:noProof/>
          <w:kern w:val="2"/>
          <w:sz w:val="24"/>
          <w:szCs w:val="24"/>
          <w:lang w:val="en-CH" w:eastAsia="zh-CN"/>
          <w14:ligatures w14:val="standardContextual"/>
        </w:rPr>
      </w:pPr>
      <w:hyperlink w:anchor="_Toc242471431" w:history="1">
        <w:r w:rsidRPr="00FF2D45">
          <w:rPr>
            <w:rStyle w:val="Hyperlink"/>
            <w:rFonts w:cstheme="minorHAnsi"/>
            <w:noProof/>
            <w:highlight w:val="cyan"/>
          </w:rPr>
          <w:t>APPENDIX S</w:t>
        </w:r>
        <w:r w:rsidRPr="00FF2D45">
          <w:rPr>
            <w:rStyle w:val="Hyperlink"/>
            <w:rFonts w:cstheme="minorHAnsi"/>
            <w:noProof/>
          </w:rPr>
          <w:t xml:space="preserve"> – DESIGN AND DOCUMENTATION DELIVERABLES</w:t>
        </w:r>
        <w:r>
          <w:rPr>
            <w:noProof/>
            <w:webHidden/>
          </w:rPr>
          <w:tab/>
        </w:r>
        <w:r>
          <w:rPr>
            <w:noProof/>
            <w:webHidden/>
          </w:rPr>
          <w:fldChar w:fldCharType="begin"/>
        </w:r>
        <w:r>
          <w:rPr>
            <w:noProof/>
            <w:webHidden/>
          </w:rPr>
          <w:instrText xml:space="preserve"> PAGEREF _Toc242471431 \h </w:instrText>
        </w:r>
        <w:r>
          <w:rPr>
            <w:noProof/>
            <w:webHidden/>
          </w:rPr>
        </w:r>
        <w:r>
          <w:rPr>
            <w:noProof/>
            <w:webHidden/>
          </w:rPr>
          <w:fldChar w:fldCharType="separate"/>
        </w:r>
        <w:r>
          <w:rPr>
            <w:noProof/>
            <w:webHidden/>
          </w:rPr>
          <w:t>83</w:t>
        </w:r>
        <w:r>
          <w:rPr>
            <w:noProof/>
            <w:webHidden/>
          </w:rPr>
          <w:fldChar w:fldCharType="end"/>
        </w:r>
      </w:hyperlink>
    </w:p>
    <w:p w14:paraId="419FD098" w14:textId="4331B1D6" w:rsidR="00CE5620" w:rsidRDefault="00CE5620">
      <w:pPr>
        <w:pStyle w:val="TOC1"/>
        <w:rPr>
          <w:rFonts w:asciiTheme="minorHAnsi" w:eastAsiaTheme="minorEastAsia" w:hAnsiTheme="minorHAnsi" w:cstheme="minorBidi"/>
          <w:noProof/>
          <w:kern w:val="2"/>
          <w:sz w:val="24"/>
          <w:szCs w:val="24"/>
          <w:lang w:val="en-CH" w:eastAsia="zh-CN"/>
          <w14:ligatures w14:val="standardContextual"/>
        </w:rPr>
      </w:pPr>
      <w:hyperlink w:anchor="_Toc242471432" w:history="1">
        <w:r w:rsidRPr="00FF2D45">
          <w:rPr>
            <w:rStyle w:val="Hyperlink"/>
            <w:rFonts w:cstheme="minorHAnsi"/>
            <w:noProof/>
            <w:highlight w:val="cyan"/>
          </w:rPr>
          <w:t>APPENDIX T</w:t>
        </w:r>
        <w:r w:rsidRPr="00FF2D45">
          <w:rPr>
            <w:rStyle w:val="Hyperlink"/>
            <w:rFonts w:cstheme="minorHAnsi"/>
            <w:noProof/>
          </w:rPr>
          <w:t xml:space="preserve"> – SUPPLIER CODE OF CONDUCT</w:t>
        </w:r>
        <w:r>
          <w:rPr>
            <w:noProof/>
            <w:webHidden/>
          </w:rPr>
          <w:tab/>
        </w:r>
        <w:r>
          <w:rPr>
            <w:noProof/>
            <w:webHidden/>
          </w:rPr>
          <w:fldChar w:fldCharType="begin"/>
        </w:r>
        <w:r>
          <w:rPr>
            <w:noProof/>
            <w:webHidden/>
          </w:rPr>
          <w:instrText xml:space="preserve"> PAGEREF _Toc242471432 \h </w:instrText>
        </w:r>
        <w:r>
          <w:rPr>
            <w:noProof/>
            <w:webHidden/>
          </w:rPr>
        </w:r>
        <w:r>
          <w:rPr>
            <w:noProof/>
            <w:webHidden/>
          </w:rPr>
          <w:fldChar w:fldCharType="separate"/>
        </w:r>
        <w:r>
          <w:rPr>
            <w:noProof/>
            <w:webHidden/>
          </w:rPr>
          <w:t>84</w:t>
        </w:r>
        <w:r>
          <w:rPr>
            <w:noProof/>
            <w:webHidden/>
          </w:rPr>
          <w:fldChar w:fldCharType="end"/>
        </w:r>
      </w:hyperlink>
    </w:p>
    <w:p w14:paraId="2B122D8A" w14:textId="24F66A17" w:rsidR="00CE5620" w:rsidRDefault="00CE5620">
      <w:pPr>
        <w:pStyle w:val="TOC1"/>
        <w:rPr>
          <w:rFonts w:asciiTheme="minorHAnsi" w:eastAsiaTheme="minorEastAsia" w:hAnsiTheme="minorHAnsi" w:cstheme="minorBidi"/>
          <w:noProof/>
          <w:kern w:val="2"/>
          <w:sz w:val="24"/>
          <w:szCs w:val="24"/>
          <w:lang w:val="en-CH" w:eastAsia="zh-CN"/>
          <w14:ligatures w14:val="standardContextual"/>
        </w:rPr>
      </w:pPr>
      <w:hyperlink w:anchor="_Toc242471433" w:history="1">
        <w:r w:rsidRPr="00FF2D45">
          <w:rPr>
            <w:rStyle w:val="Hyperlink"/>
            <w:rFonts w:cstheme="minorHAnsi"/>
            <w:noProof/>
            <w:highlight w:val="cyan"/>
          </w:rPr>
          <w:t>APPENDIX U</w:t>
        </w:r>
        <w:r w:rsidRPr="00FF2D45">
          <w:rPr>
            <w:rStyle w:val="Hyperlink"/>
            <w:rFonts w:cstheme="minorHAnsi"/>
            <w:noProof/>
          </w:rPr>
          <w:t xml:space="preserve"> – PACKING, TRANSPORT AND STORAGE</w:t>
        </w:r>
        <w:r>
          <w:rPr>
            <w:noProof/>
            <w:webHidden/>
          </w:rPr>
          <w:tab/>
        </w:r>
        <w:r>
          <w:rPr>
            <w:noProof/>
            <w:webHidden/>
          </w:rPr>
          <w:fldChar w:fldCharType="begin"/>
        </w:r>
        <w:r>
          <w:rPr>
            <w:noProof/>
            <w:webHidden/>
          </w:rPr>
          <w:instrText xml:space="preserve"> PAGEREF _Toc242471433 \h </w:instrText>
        </w:r>
        <w:r>
          <w:rPr>
            <w:noProof/>
            <w:webHidden/>
          </w:rPr>
        </w:r>
        <w:r>
          <w:rPr>
            <w:noProof/>
            <w:webHidden/>
          </w:rPr>
          <w:fldChar w:fldCharType="separate"/>
        </w:r>
        <w:r>
          <w:rPr>
            <w:noProof/>
            <w:webHidden/>
          </w:rPr>
          <w:t>85</w:t>
        </w:r>
        <w:r>
          <w:rPr>
            <w:noProof/>
            <w:webHidden/>
          </w:rPr>
          <w:fldChar w:fldCharType="end"/>
        </w:r>
      </w:hyperlink>
    </w:p>
    <w:p w14:paraId="7369C432" w14:textId="5E5FFB3F" w:rsidR="00CE5620" w:rsidRDefault="00CE5620">
      <w:pPr>
        <w:pStyle w:val="TOC1"/>
        <w:rPr>
          <w:rFonts w:asciiTheme="minorHAnsi" w:eastAsiaTheme="minorEastAsia" w:hAnsiTheme="minorHAnsi" w:cstheme="minorBidi"/>
          <w:noProof/>
          <w:kern w:val="2"/>
          <w:sz w:val="24"/>
          <w:szCs w:val="24"/>
          <w:lang w:val="en-CH" w:eastAsia="zh-CN"/>
          <w14:ligatures w14:val="standardContextual"/>
        </w:rPr>
      </w:pPr>
      <w:hyperlink w:anchor="_Toc242471434" w:history="1">
        <w:r w:rsidRPr="00FF2D45">
          <w:rPr>
            <w:rStyle w:val="Hyperlink"/>
            <w:rFonts w:cstheme="minorHAnsi"/>
            <w:noProof/>
            <w:highlight w:val="cyan"/>
          </w:rPr>
          <w:t>APPENDIX V</w:t>
        </w:r>
        <w:r w:rsidRPr="00FF2D45">
          <w:rPr>
            <w:rStyle w:val="Hyperlink"/>
            <w:rFonts w:cstheme="minorHAnsi"/>
            <w:noProof/>
          </w:rPr>
          <w:t xml:space="preserve"> – CYBERSECURITY REQUIREMENTS</w:t>
        </w:r>
        <w:r>
          <w:rPr>
            <w:noProof/>
            <w:webHidden/>
          </w:rPr>
          <w:tab/>
        </w:r>
        <w:r>
          <w:rPr>
            <w:noProof/>
            <w:webHidden/>
          </w:rPr>
          <w:fldChar w:fldCharType="begin"/>
        </w:r>
        <w:r>
          <w:rPr>
            <w:noProof/>
            <w:webHidden/>
          </w:rPr>
          <w:instrText xml:space="preserve"> PAGEREF _Toc242471434 \h </w:instrText>
        </w:r>
        <w:r>
          <w:rPr>
            <w:noProof/>
            <w:webHidden/>
          </w:rPr>
        </w:r>
        <w:r>
          <w:rPr>
            <w:noProof/>
            <w:webHidden/>
          </w:rPr>
          <w:fldChar w:fldCharType="separate"/>
        </w:r>
        <w:r>
          <w:rPr>
            <w:noProof/>
            <w:webHidden/>
          </w:rPr>
          <w:t>88</w:t>
        </w:r>
        <w:r>
          <w:rPr>
            <w:noProof/>
            <w:webHidden/>
          </w:rPr>
          <w:fldChar w:fldCharType="end"/>
        </w:r>
      </w:hyperlink>
    </w:p>
    <w:p w14:paraId="3B98B3CA" w14:textId="7DF0EED5" w:rsidR="00CE5620" w:rsidRDefault="00CE5620">
      <w:pPr>
        <w:pStyle w:val="TOC1"/>
        <w:rPr>
          <w:rFonts w:asciiTheme="minorHAnsi" w:eastAsiaTheme="minorEastAsia" w:hAnsiTheme="minorHAnsi" w:cstheme="minorBidi"/>
          <w:noProof/>
          <w:kern w:val="2"/>
          <w:sz w:val="24"/>
          <w:szCs w:val="24"/>
          <w:lang w:val="en-CH" w:eastAsia="zh-CN"/>
          <w14:ligatures w14:val="standardContextual"/>
        </w:rPr>
      </w:pPr>
      <w:hyperlink w:anchor="_Toc242471435" w:history="1">
        <w:r w:rsidRPr="00FF2D45">
          <w:rPr>
            <w:rStyle w:val="Hyperlink"/>
            <w:rFonts w:cstheme="minorHAnsi"/>
            <w:noProof/>
            <w:highlight w:val="cyan"/>
          </w:rPr>
          <w:t>APPENDIX W</w:t>
        </w:r>
        <w:r w:rsidRPr="00FF2D45">
          <w:rPr>
            <w:rStyle w:val="Hyperlink"/>
            <w:rFonts w:cstheme="minorHAnsi"/>
            <w:noProof/>
          </w:rPr>
          <w:t xml:space="preserve"> – PRODUCT SAFETY AND REGULATORY COMPLIANCE</w:t>
        </w:r>
        <w:r>
          <w:rPr>
            <w:noProof/>
            <w:webHidden/>
          </w:rPr>
          <w:tab/>
        </w:r>
        <w:r>
          <w:rPr>
            <w:noProof/>
            <w:webHidden/>
          </w:rPr>
          <w:fldChar w:fldCharType="begin"/>
        </w:r>
        <w:r>
          <w:rPr>
            <w:noProof/>
            <w:webHidden/>
          </w:rPr>
          <w:instrText xml:space="preserve"> PAGEREF _Toc242471435 \h </w:instrText>
        </w:r>
        <w:r>
          <w:rPr>
            <w:noProof/>
            <w:webHidden/>
          </w:rPr>
        </w:r>
        <w:r>
          <w:rPr>
            <w:noProof/>
            <w:webHidden/>
          </w:rPr>
          <w:fldChar w:fldCharType="separate"/>
        </w:r>
        <w:r>
          <w:rPr>
            <w:noProof/>
            <w:webHidden/>
          </w:rPr>
          <w:t>90</w:t>
        </w:r>
        <w:r>
          <w:rPr>
            <w:noProof/>
            <w:webHidden/>
          </w:rPr>
          <w:fldChar w:fldCharType="end"/>
        </w:r>
      </w:hyperlink>
    </w:p>
    <w:p w14:paraId="597AA34F" w14:textId="6C362F5C" w:rsidR="009E333E" w:rsidRDefault="00000000">
      <w:pPr>
        <w:pStyle w:val="TOC1"/>
      </w:pPr>
      <w:r>
        <w:fldChar w:fldCharType="end"/>
      </w:r>
    </w:p>
    <w:p w14:paraId="50D7E152" w14:textId="77777777" w:rsidR="009E333E" w:rsidRDefault="00000000">
      <w:r>
        <w:br w:type="page"/>
      </w:r>
    </w:p>
    <w:p w14:paraId="04EBD58B" w14:textId="77777777" w:rsidR="009E333E" w:rsidRDefault="00000000">
      <w:pPr>
        <w:pStyle w:val="Heading1"/>
        <w:spacing w:after="120"/>
        <w:jc w:val="left"/>
        <w:rPr>
          <w:rFonts w:asciiTheme="minorHAnsi" w:hAnsiTheme="minorHAnsi" w:cstheme="minorHAnsi"/>
          <w:szCs w:val="22"/>
        </w:rPr>
      </w:pPr>
      <w:bookmarkStart w:id="2" w:name="_Toc242471391"/>
      <w:r>
        <w:rPr>
          <w:rFonts w:asciiTheme="minorHAnsi" w:hAnsiTheme="minorHAnsi" w:cstheme="minorHAnsi"/>
          <w:szCs w:val="22"/>
        </w:rPr>
        <w:lastRenderedPageBreak/>
        <w:t>1. Definitions and Interpretation</w:t>
      </w:r>
      <w:bookmarkEnd w:id="2"/>
    </w:p>
    <w:p w14:paraId="666BE54C" w14:textId="77777777" w:rsidR="009E333E" w:rsidRDefault="00000000">
      <w:pPr>
        <w:pStyle w:val="Heading2"/>
        <w:spacing w:before="200" w:after="80"/>
        <w:ind w:left="360"/>
        <w:rPr>
          <w:rFonts w:asciiTheme="minorHAnsi" w:hAnsiTheme="minorHAnsi" w:cstheme="minorHAnsi"/>
          <w:szCs w:val="22"/>
        </w:rPr>
      </w:pPr>
      <w:r>
        <w:rPr>
          <w:rFonts w:asciiTheme="minorHAnsi" w:hAnsiTheme="minorHAnsi" w:cstheme="minorHAnsi"/>
          <w:szCs w:val="22"/>
        </w:rPr>
        <w:t>1.1 Definitions</w:t>
      </w:r>
    </w:p>
    <w:p w14:paraId="54489077" w14:textId="7D371DB5"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In this Agreement the following capitalised terms have the meanings set out below. </w:t>
      </w:r>
    </w:p>
    <w:p w14:paraId="7EDB08BB"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b/>
          <w:bCs/>
          <w:szCs w:val="22"/>
        </w:rPr>
        <w:t xml:space="preserve">“Agreement” </w:t>
      </w:r>
      <w:r>
        <w:rPr>
          <w:rFonts w:asciiTheme="minorHAnsi" w:hAnsiTheme="minorHAnsi" w:cstheme="minorHAnsi"/>
          <w:szCs w:val="22"/>
        </w:rPr>
        <w:t>means this BESS Supply and Purchase Agreement, including its Appendices and any Purchase Order issued under it, as amended in writing from time to time.</w:t>
      </w:r>
    </w:p>
    <w:p w14:paraId="33EAF687"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b/>
          <w:bCs/>
          <w:szCs w:val="22"/>
        </w:rPr>
        <w:t xml:space="preserve">“Critical Component List” </w:t>
      </w:r>
      <w:r>
        <w:rPr>
          <w:rFonts w:asciiTheme="minorHAnsi" w:hAnsiTheme="minorHAnsi" w:cstheme="minorHAnsi"/>
          <w:szCs w:val="22"/>
        </w:rPr>
        <w:t xml:space="preserve">means the list in </w:t>
      </w:r>
      <w:r>
        <w:rPr>
          <w:rFonts w:asciiTheme="minorHAnsi" w:hAnsiTheme="minorHAnsi" w:cstheme="minorHAnsi"/>
          <w:szCs w:val="22"/>
          <w:highlight w:val="cyan"/>
        </w:rPr>
        <w:t>APPENDIX R</w:t>
      </w:r>
      <w:r>
        <w:rPr>
          <w:rFonts w:asciiTheme="minorHAnsi" w:hAnsiTheme="minorHAnsi" w:cstheme="minorHAnsi"/>
          <w:szCs w:val="22"/>
        </w:rPr>
        <w:t xml:space="preserve"> identifying, for each Key Component and for each component identified as critical in the product certifications of the BESS, the manufacturer, manufacturing site, part number, hardware revision and firmware or software version, as approved by the Buyer (Clause 4.2.3).</w:t>
      </w:r>
    </w:p>
    <w:p w14:paraId="580077FA"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b/>
          <w:bCs/>
          <w:szCs w:val="22"/>
        </w:rPr>
        <w:t xml:space="preserve">“Availability” </w:t>
      </w:r>
      <w:r>
        <w:rPr>
          <w:rFonts w:asciiTheme="minorHAnsi" w:hAnsiTheme="minorHAnsi" w:cstheme="minorHAnsi"/>
          <w:szCs w:val="22"/>
        </w:rPr>
        <w:t>means the percentage calculated in accordance with Clause 7.3.</w:t>
      </w:r>
    </w:p>
    <w:p w14:paraId="250790FB"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b/>
          <w:bCs/>
          <w:szCs w:val="22"/>
        </w:rPr>
        <w:t xml:space="preserve">“Battery Analytics Solutions” </w:t>
      </w:r>
      <w:r>
        <w:rPr>
          <w:rFonts w:asciiTheme="minorHAnsi" w:hAnsiTheme="minorHAnsi" w:cstheme="minorHAnsi"/>
          <w:szCs w:val="22"/>
        </w:rPr>
        <w:t xml:space="preserve">means the data-driven quality control and diagnostics process described in </w:t>
      </w:r>
      <w:r>
        <w:rPr>
          <w:rFonts w:asciiTheme="minorHAnsi" w:hAnsiTheme="minorHAnsi" w:cstheme="minorHAnsi"/>
          <w:szCs w:val="22"/>
          <w:highlight w:val="cyan"/>
        </w:rPr>
        <w:t>APPENDIX M</w:t>
      </w:r>
      <w:r>
        <w:rPr>
          <w:rFonts w:asciiTheme="minorHAnsi" w:hAnsiTheme="minorHAnsi" w:cstheme="minorHAnsi"/>
          <w:szCs w:val="22"/>
        </w:rPr>
        <w:t>, performed on behalf of the Buyer by the Selected Third-Party appointed for that activity, at Factory Acceptance Testing, Site Acceptance Testing and during operation.</w:t>
      </w:r>
    </w:p>
    <w:p w14:paraId="2E51BAE3"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b/>
          <w:bCs/>
          <w:szCs w:val="22"/>
        </w:rPr>
        <w:t xml:space="preserve">“BESS” </w:t>
      </w:r>
      <w:r>
        <w:rPr>
          <w:rFonts w:asciiTheme="minorHAnsi" w:hAnsiTheme="minorHAnsi" w:cstheme="minorHAnsi"/>
          <w:szCs w:val="22"/>
        </w:rPr>
        <w:t xml:space="preserve">means the battery energy storage system described in </w:t>
      </w:r>
      <w:r>
        <w:rPr>
          <w:rFonts w:asciiTheme="minorHAnsi" w:hAnsiTheme="minorHAnsi" w:cstheme="minorHAnsi"/>
          <w:szCs w:val="22"/>
          <w:highlight w:val="cyan"/>
        </w:rPr>
        <w:t>APPENDIX A</w:t>
      </w:r>
      <w:r>
        <w:rPr>
          <w:rFonts w:asciiTheme="minorHAnsi" w:hAnsiTheme="minorHAnsi" w:cstheme="minorHAnsi"/>
          <w:szCs w:val="22"/>
        </w:rPr>
        <w:t xml:space="preserve"> and </w:t>
      </w:r>
      <w:r>
        <w:rPr>
          <w:rFonts w:asciiTheme="minorHAnsi" w:hAnsiTheme="minorHAnsi" w:cstheme="minorHAnsi"/>
          <w:szCs w:val="22"/>
          <w:highlight w:val="cyan"/>
        </w:rPr>
        <w:t>APPENDICES B to E</w:t>
      </w:r>
      <w:r>
        <w:rPr>
          <w:rFonts w:asciiTheme="minorHAnsi" w:hAnsiTheme="minorHAnsi" w:cstheme="minorHAnsi"/>
          <w:szCs w:val="22"/>
        </w:rPr>
        <w:t>, including all containers, battery racks, battery packs and modules, cells, BMS, PCS, EMS, thermal management, fire detection and suppression, auxiliary equipment, Software, documentation and spare parts to be supplied under this Agreement.</w:t>
      </w:r>
    </w:p>
    <w:p w14:paraId="107B57CE"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b/>
          <w:bCs/>
          <w:szCs w:val="22"/>
        </w:rPr>
        <w:t xml:space="preserve">“BOM” </w:t>
      </w:r>
      <w:r>
        <w:rPr>
          <w:rFonts w:asciiTheme="minorHAnsi" w:hAnsiTheme="minorHAnsi" w:cstheme="minorHAnsi"/>
          <w:szCs w:val="22"/>
        </w:rPr>
        <w:t>means the Seller’s engineering bill of materials for the BESS, listing every component, sub-assembly and material used to build it, with part number, revision and supplier, as delivered under Clause 4.2.</w:t>
      </w:r>
    </w:p>
    <w:p w14:paraId="66E43C4C" w14:textId="77777777" w:rsidR="009E333E" w:rsidRDefault="00000000">
      <w:pPr>
        <w:spacing w:after="120"/>
        <w:ind w:left="720"/>
        <w:jc w:val="both"/>
        <w:rPr>
          <w:rFonts w:asciiTheme="minorHAnsi" w:hAnsiTheme="minorHAnsi" w:cstheme="minorHAnsi"/>
          <w:szCs w:val="22"/>
        </w:rPr>
      </w:pPr>
      <w:r w:rsidRPr="00080D71">
        <w:rPr>
          <w:rFonts w:asciiTheme="minorHAnsi" w:hAnsiTheme="minorHAnsi" w:cstheme="minorHAnsi"/>
          <w:b/>
          <w:bCs/>
          <w:szCs w:val="22"/>
        </w:rPr>
        <w:t>“Batch”</w:t>
      </w:r>
      <w:r>
        <w:rPr>
          <w:rFonts w:asciiTheme="minorHAnsi" w:hAnsiTheme="minorHAnsi" w:cstheme="minorHAnsi"/>
          <w:szCs w:val="22"/>
        </w:rPr>
        <w:t xml:space="preserve"> means a group of units of the same component type and configuration produced under the same manufacturing lot identifier and so identified in the as-built register of Clause 4.5.3. Where a percentage threshold in this Agreement is applied to units, the denominator is the number of units of the same component type within the population identified in the relevant Clause; different component types are not combined.</w:t>
      </w:r>
    </w:p>
    <w:p w14:paraId="5CEA0DDE"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b/>
          <w:bCs/>
          <w:szCs w:val="22"/>
        </w:rPr>
        <w:t xml:space="preserve">“Business Day” </w:t>
      </w:r>
      <w:r>
        <w:rPr>
          <w:rFonts w:asciiTheme="minorHAnsi" w:hAnsiTheme="minorHAnsi" w:cstheme="minorHAnsi"/>
          <w:szCs w:val="22"/>
        </w:rPr>
        <w:t xml:space="preserve">means a day other than a Saturday, Sunday or public holiday in </w:t>
      </w:r>
      <w:r>
        <w:rPr>
          <w:rFonts w:asciiTheme="minorHAnsi" w:hAnsiTheme="minorHAnsi" w:cstheme="minorHAnsi"/>
          <w:szCs w:val="22"/>
          <w:highlight w:val="yellow"/>
        </w:rPr>
        <w:t>[the Buyer’s jurisdiction]</w:t>
      </w:r>
      <w:r>
        <w:rPr>
          <w:rFonts w:asciiTheme="minorHAnsi" w:hAnsiTheme="minorHAnsi" w:cstheme="minorHAnsi"/>
          <w:szCs w:val="22"/>
        </w:rPr>
        <w:t>.</w:t>
      </w:r>
    </w:p>
    <w:p w14:paraId="1A22EAD2" w14:textId="5DC0E9C9" w:rsidR="009E333E" w:rsidRDefault="00000000">
      <w:pPr>
        <w:spacing w:after="120"/>
        <w:ind w:left="720"/>
        <w:jc w:val="both"/>
        <w:rPr>
          <w:rFonts w:asciiTheme="minorHAnsi" w:hAnsiTheme="minorHAnsi" w:cstheme="minorHAnsi"/>
          <w:szCs w:val="22"/>
        </w:rPr>
      </w:pPr>
      <w:r>
        <w:rPr>
          <w:rFonts w:asciiTheme="minorHAnsi" w:hAnsiTheme="minorHAnsi" w:cstheme="minorHAnsi"/>
          <w:b/>
          <w:bCs/>
          <w:szCs w:val="22"/>
        </w:rPr>
        <w:t>“Change”, “Deviation”, “Class A Change”, “Class B Change” and “Class C Change” have the meanings given in Clause 4.4.</w:t>
      </w:r>
    </w:p>
    <w:p w14:paraId="489746B7"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b/>
          <w:bCs/>
          <w:szCs w:val="22"/>
        </w:rPr>
        <w:t xml:space="preserve">“Contract Price” </w:t>
      </w:r>
      <w:r>
        <w:rPr>
          <w:rFonts w:asciiTheme="minorHAnsi" w:hAnsiTheme="minorHAnsi" w:cstheme="minorHAnsi"/>
          <w:szCs w:val="22"/>
        </w:rPr>
        <w:t>means the total price stated in Clause 4.1, fixed and firm in accordance with Clause 4.17.</w:t>
      </w:r>
    </w:p>
    <w:p w14:paraId="6E80BECF"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b/>
          <w:bCs/>
          <w:szCs w:val="22"/>
        </w:rPr>
        <w:t xml:space="preserve">“Critical Defect” </w:t>
      </w:r>
      <w:r>
        <w:rPr>
          <w:rFonts w:asciiTheme="minorHAnsi" w:hAnsiTheme="minorHAnsi" w:cstheme="minorHAnsi"/>
          <w:szCs w:val="22"/>
        </w:rPr>
        <w:t xml:space="preserve">means a Defect affecting safety, fire protection, certification, grid compliance, cybersecurity or the ability of the BESS to charge and discharge at rated power, or affecting more than </w:t>
      </w:r>
      <w:r>
        <w:rPr>
          <w:rFonts w:asciiTheme="minorHAnsi" w:hAnsiTheme="minorHAnsi" w:cstheme="minorHAnsi"/>
          <w:szCs w:val="22"/>
          <w:highlight w:val="yellow"/>
        </w:rPr>
        <w:t>[two per cent (2%)]</w:t>
      </w:r>
      <w:r>
        <w:rPr>
          <w:rFonts w:asciiTheme="minorHAnsi" w:hAnsiTheme="minorHAnsi" w:cstheme="minorHAnsi"/>
          <w:szCs w:val="22"/>
        </w:rPr>
        <w:t xml:space="preserve"> of racks.</w:t>
      </w:r>
    </w:p>
    <w:p w14:paraId="5C24ED5B"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b/>
          <w:bCs/>
          <w:szCs w:val="22"/>
        </w:rPr>
        <w:t xml:space="preserve">“Defect” </w:t>
      </w:r>
      <w:r>
        <w:rPr>
          <w:rFonts w:asciiTheme="minorHAnsi" w:hAnsiTheme="minorHAnsi" w:cstheme="minorHAnsi"/>
          <w:szCs w:val="22"/>
        </w:rPr>
        <w:t>means any non-conformity of the BESS, its Software or its documentation with this Agreement, any failure to meet the Specification or a Performance Guarantee, and any damage or deficiency caused by the Seller’s design, materials, workmanship, information or omission, whether or not visible at Delivery.</w:t>
      </w:r>
    </w:p>
    <w:p w14:paraId="0FB293F4" w14:textId="3A0A531D" w:rsidR="009E333E" w:rsidRDefault="00000000">
      <w:pPr>
        <w:spacing w:after="120"/>
        <w:ind w:left="720"/>
        <w:jc w:val="both"/>
        <w:rPr>
          <w:rFonts w:asciiTheme="minorHAnsi" w:hAnsiTheme="minorHAnsi" w:cstheme="minorHAnsi"/>
          <w:szCs w:val="22"/>
        </w:rPr>
      </w:pPr>
      <w:r>
        <w:rPr>
          <w:rFonts w:asciiTheme="minorHAnsi" w:hAnsiTheme="minorHAnsi" w:cstheme="minorHAnsi"/>
          <w:b/>
          <w:bCs/>
          <w:szCs w:val="22"/>
        </w:rPr>
        <w:t>“Delay LD Cap” and “Longstop Date” have the meanings given in Clause 5.5.</w:t>
      </w:r>
    </w:p>
    <w:p w14:paraId="50E2AD97" w14:textId="64FB9E0C" w:rsidR="009E333E" w:rsidRDefault="00000000">
      <w:pPr>
        <w:spacing w:after="120"/>
        <w:ind w:left="720"/>
        <w:jc w:val="both"/>
        <w:rPr>
          <w:rFonts w:asciiTheme="minorHAnsi" w:hAnsiTheme="minorHAnsi" w:cstheme="minorHAnsi"/>
          <w:szCs w:val="22"/>
        </w:rPr>
      </w:pPr>
      <w:r>
        <w:rPr>
          <w:rFonts w:asciiTheme="minorHAnsi" w:hAnsiTheme="minorHAnsi" w:cstheme="minorHAnsi"/>
          <w:b/>
          <w:bCs/>
          <w:szCs w:val="22"/>
        </w:rPr>
        <w:lastRenderedPageBreak/>
        <w:t xml:space="preserve">“Delivery” </w:t>
      </w:r>
      <w:r w:rsidRPr="00080D71">
        <w:rPr>
          <w:rFonts w:asciiTheme="minorHAnsi" w:hAnsiTheme="minorHAnsi" w:cstheme="minorHAnsi"/>
          <w:szCs w:val="22"/>
        </w:rPr>
        <w:t xml:space="preserve">means arrival of the relevant BESS units at the </w:t>
      </w:r>
      <w:r w:rsidRPr="00080D71">
        <w:rPr>
          <w:rFonts w:asciiTheme="minorHAnsi" w:hAnsiTheme="minorHAnsi" w:cstheme="minorHAnsi"/>
          <w:szCs w:val="22"/>
          <w:highlight w:val="yellow"/>
        </w:rPr>
        <w:t>Named Place of Destination</w:t>
      </w:r>
      <w:r w:rsidRPr="00080D71">
        <w:rPr>
          <w:rFonts w:asciiTheme="minorHAnsi" w:hAnsiTheme="minorHAnsi" w:cstheme="minorHAnsi"/>
          <w:szCs w:val="22"/>
        </w:rPr>
        <w:t xml:space="preserve">, completion of unloading and receipt of the delivery documentation listed in Clause 5.2.3 (including the transport records that only become available after transit). Delivery is independent of the Post-Delivery Inspection and of Site </w:t>
      </w:r>
      <w:proofErr w:type="gramStart"/>
      <w:r w:rsidRPr="00080D71">
        <w:rPr>
          <w:rFonts w:asciiTheme="minorHAnsi" w:hAnsiTheme="minorHAnsi" w:cstheme="minorHAnsi"/>
          <w:szCs w:val="22"/>
        </w:rPr>
        <w:t>Acceptance, and</w:t>
      </w:r>
      <w:proofErr w:type="gramEnd"/>
      <w:r w:rsidRPr="00080D71">
        <w:rPr>
          <w:rFonts w:asciiTheme="minorHAnsi" w:hAnsiTheme="minorHAnsi" w:cstheme="minorHAnsi"/>
          <w:szCs w:val="22"/>
        </w:rPr>
        <w:t xml:space="preserve"> does not constitute acceptance.</w:t>
      </w:r>
    </w:p>
    <w:p w14:paraId="232A4B4E" w14:textId="222BD733" w:rsidR="009E333E" w:rsidRDefault="00000000">
      <w:pPr>
        <w:spacing w:after="120"/>
        <w:ind w:left="720"/>
        <w:jc w:val="both"/>
        <w:rPr>
          <w:rFonts w:asciiTheme="minorHAnsi" w:hAnsiTheme="minorHAnsi" w:cstheme="minorHAnsi"/>
          <w:szCs w:val="22"/>
        </w:rPr>
      </w:pPr>
      <w:r>
        <w:rPr>
          <w:rFonts w:asciiTheme="minorHAnsi" w:hAnsiTheme="minorHAnsi" w:cstheme="minorHAnsi"/>
          <w:b/>
          <w:bCs/>
          <w:szCs w:val="22"/>
        </w:rPr>
        <w:t xml:space="preserve">“Delivery Schedule” </w:t>
      </w:r>
      <w:r w:rsidRPr="00080D71">
        <w:rPr>
          <w:rFonts w:asciiTheme="minorHAnsi" w:hAnsiTheme="minorHAnsi" w:cstheme="minorHAnsi"/>
          <w:szCs w:val="22"/>
        </w:rPr>
        <w:t xml:space="preserve">means the schedule of shipments in </w:t>
      </w:r>
      <w:r w:rsidRPr="00080D71">
        <w:rPr>
          <w:rFonts w:asciiTheme="minorHAnsi" w:hAnsiTheme="minorHAnsi" w:cstheme="minorHAnsi"/>
          <w:szCs w:val="22"/>
          <w:highlight w:val="cyan"/>
        </w:rPr>
        <w:t>APPENDIX I</w:t>
      </w:r>
      <w:r w:rsidRPr="00080D71">
        <w:rPr>
          <w:rFonts w:asciiTheme="minorHAnsi" w:hAnsiTheme="minorHAnsi" w:cstheme="minorHAnsi"/>
          <w:szCs w:val="22"/>
        </w:rPr>
        <w:t>, as extended only in accordance with Clause 5.9.</w:t>
      </w:r>
    </w:p>
    <w:p w14:paraId="2897B3D2" w14:textId="77777777" w:rsidR="009E333E" w:rsidRDefault="00000000">
      <w:pPr>
        <w:spacing w:after="120"/>
        <w:ind w:left="720"/>
        <w:jc w:val="both"/>
        <w:rPr>
          <w:rFonts w:asciiTheme="minorHAnsi" w:hAnsiTheme="minorHAnsi" w:cstheme="minorHAnsi"/>
          <w:szCs w:val="22"/>
        </w:rPr>
      </w:pPr>
      <w:r w:rsidRPr="00080D71">
        <w:rPr>
          <w:rFonts w:asciiTheme="minorHAnsi" w:hAnsiTheme="minorHAnsi" w:cstheme="minorHAnsi"/>
          <w:b/>
          <w:bCs/>
          <w:szCs w:val="22"/>
        </w:rPr>
        <w:t>“Scheduled Delivery Period”</w:t>
      </w:r>
      <w:r>
        <w:rPr>
          <w:rFonts w:asciiTheme="minorHAnsi" w:hAnsiTheme="minorHAnsi" w:cstheme="minorHAnsi"/>
          <w:szCs w:val="22"/>
        </w:rPr>
        <w:t xml:space="preserve"> means the delivery window stated in </w:t>
      </w:r>
      <w:r>
        <w:rPr>
          <w:rFonts w:asciiTheme="minorHAnsi" w:hAnsiTheme="minorHAnsi" w:cstheme="minorHAnsi"/>
          <w:szCs w:val="22"/>
          <w:highlight w:val="cyan"/>
        </w:rPr>
        <w:t>APPENDIX I</w:t>
      </w:r>
      <w:r>
        <w:rPr>
          <w:rFonts w:asciiTheme="minorHAnsi" w:hAnsiTheme="minorHAnsi" w:cstheme="minorHAnsi"/>
          <w:szCs w:val="22"/>
        </w:rPr>
        <w:t xml:space="preserve"> for the relevant shipment, as extended only in accordance with Clause 5.9.</w:t>
      </w:r>
    </w:p>
    <w:p w14:paraId="5EDA59E0"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b/>
          <w:bCs/>
          <w:szCs w:val="22"/>
        </w:rPr>
        <w:t xml:space="preserve">“Designated Cell” </w:t>
      </w:r>
      <w:r>
        <w:rPr>
          <w:rFonts w:asciiTheme="minorHAnsi" w:hAnsiTheme="minorHAnsi" w:cstheme="minorHAnsi"/>
          <w:szCs w:val="22"/>
        </w:rPr>
        <w:t xml:space="preserve">means the battery cell manufacturer, model, chemistry, revision and production site identified in </w:t>
      </w:r>
      <w:r>
        <w:rPr>
          <w:rFonts w:asciiTheme="minorHAnsi" w:hAnsiTheme="minorHAnsi" w:cstheme="minorHAnsi"/>
          <w:szCs w:val="22"/>
          <w:highlight w:val="cyan"/>
        </w:rPr>
        <w:t>APPENDIX E</w:t>
      </w:r>
      <w:r>
        <w:rPr>
          <w:rFonts w:asciiTheme="minorHAnsi" w:hAnsiTheme="minorHAnsi" w:cstheme="minorHAnsi"/>
          <w:szCs w:val="22"/>
        </w:rPr>
        <w:t xml:space="preserve"> (Clause 4.3).</w:t>
      </w:r>
    </w:p>
    <w:p w14:paraId="79B6D75D"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b/>
          <w:bCs/>
          <w:szCs w:val="22"/>
        </w:rPr>
        <w:t xml:space="preserve">“Dispute” </w:t>
      </w:r>
      <w:r>
        <w:rPr>
          <w:rFonts w:asciiTheme="minorHAnsi" w:hAnsiTheme="minorHAnsi" w:cstheme="minorHAnsi"/>
          <w:szCs w:val="22"/>
        </w:rPr>
        <w:t>means any disagreement, difference or claim between the Parties that arises from or relates to this Agreement, including questions as to its formation, validity, meaning, performance, breach or termination, and any related non-contractual claim.</w:t>
      </w:r>
    </w:p>
    <w:p w14:paraId="767107B0" w14:textId="12B5F2E2" w:rsidR="009E333E" w:rsidRDefault="00000000">
      <w:pPr>
        <w:spacing w:after="120"/>
        <w:ind w:left="720"/>
        <w:jc w:val="both"/>
        <w:rPr>
          <w:rFonts w:asciiTheme="minorHAnsi" w:hAnsiTheme="minorHAnsi" w:cstheme="minorHAnsi"/>
          <w:szCs w:val="22"/>
        </w:rPr>
      </w:pPr>
      <w:r>
        <w:rPr>
          <w:rFonts w:asciiTheme="minorHAnsi" w:hAnsiTheme="minorHAnsi" w:cstheme="minorHAnsi"/>
          <w:b/>
          <w:bCs/>
          <w:szCs w:val="22"/>
        </w:rPr>
        <w:t>“Effective Date” means the date on which the last Party signs this Agreement, as recorded on the signature page.</w:t>
      </w:r>
    </w:p>
    <w:p w14:paraId="6940E358"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b/>
          <w:bCs/>
          <w:szCs w:val="22"/>
        </w:rPr>
        <w:t xml:space="preserve">“Factory Acceptance Testing or FAT” </w:t>
      </w:r>
      <w:r>
        <w:rPr>
          <w:rFonts w:asciiTheme="minorHAnsi" w:hAnsiTheme="minorHAnsi" w:cstheme="minorHAnsi"/>
          <w:szCs w:val="22"/>
        </w:rPr>
        <w:t xml:space="preserve">means the tests, inspections and data deliverables set out in </w:t>
      </w:r>
      <w:r>
        <w:rPr>
          <w:rFonts w:asciiTheme="minorHAnsi" w:hAnsiTheme="minorHAnsi" w:cstheme="minorHAnsi"/>
          <w:szCs w:val="22"/>
          <w:highlight w:val="cyan"/>
        </w:rPr>
        <w:t>APPENDIX F</w:t>
      </w:r>
      <w:r>
        <w:rPr>
          <w:rFonts w:asciiTheme="minorHAnsi" w:hAnsiTheme="minorHAnsi" w:cstheme="minorHAnsi"/>
          <w:szCs w:val="22"/>
        </w:rPr>
        <w:t>, witnessed by the Selected Third-Party.</w:t>
      </w:r>
    </w:p>
    <w:p w14:paraId="795EA346" w14:textId="7677B5AD" w:rsidR="009E333E" w:rsidRDefault="00000000">
      <w:pPr>
        <w:spacing w:after="120"/>
        <w:ind w:left="720"/>
        <w:jc w:val="both"/>
        <w:rPr>
          <w:rFonts w:asciiTheme="minorHAnsi" w:hAnsiTheme="minorHAnsi" w:cstheme="minorHAnsi"/>
          <w:szCs w:val="22"/>
        </w:rPr>
      </w:pPr>
      <w:r>
        <w:rPr>
          <w:rFonts w:asciiTheme="minorHAnsi" w:hAnsiTheme="minorHAnsi" w:cstheme="minorHAnsi"/>
          <w:b/>
          <w:bCs/>
          <w:szCs w:val="22"/>
        </w:rPr>
        <w:t>“Force Majeure” has the meaning given in Clause 9.</w:t>
      </w:r>
    </w:p>
    <w:p w14:paraId="3EAA9B62"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b/>
          <w:bCs/>
          <w:szCs w:val="22"/>
        </w:rPr>
        <w:t xml:space="preserve">“Good Industry Practice” </w:t>
      </w:r>
      <w:r>
        <w:rPr>
          <w:rFonts w:asciiTheme="minorHAnsi" w:hAnsiTheme="minorHAnsi" w:cstheme="minorHAnsi"/>
          <w:szCs w:val="22"/>
        </w:rPr>
        <w:t>means the standards, practices, methods and procedures, and the degree of skill, care, diligence and foresight, that would reasonably be expected from a leading international manufacturer of utility-scale battery energy storage systems complying with applicable law and standards.</w:t>
      </w:r>
    </w:p>
    <w:p w14:paraId="3217C81B"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b/>
          <w:bCs/>
          <w:szCs w:val="22"/>
        </w:rPr>
        <w:t xml:space="preserve">“Insolvency Event” </w:t>
      </w:r>
      <w:r>
        <w:rPr>
          <w:rFonts w:asciiTheme="minorHAnsi" w:hAnsiTheme="minorHAnsi" w:cstheme="minorHAnsi"/>
          <w:szCs w:val="22"/>
        </w:rPr>
        <w:t>means in relation to a Party or a guarantor: the appointment of a liquidator, administrator, receiver or similar officer; a resolution or order for winding up; a composition or arrangement with creditors; inability to pay debts as they fall due; or any analogous event in any jurisdiction, excluding a solvent reorganisation approved in advance by the other Party.</w:t>
      </w:r>
    </w:p>
    <w:p w14:paraId="556494EA"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b/>
          <w:bCs/>
          <w:szCs w:val="22"/>
        </w:rPr>
        <w:t xml:space="preserve">“Key Components” </w:t>
      </w:r>
      <w:r>
        <w:rPr>
          <w:rFonts w:asciiTheme="minorHAnsi" w:hAnsiTheme="minorHAnsi" w:cstheme="minorHAnsi"/>
          <w:szCs w:val="22"/>
        </w:rPr>
        <w:t>means the battery cells, packs or modules, racks, enclosures, BMS, PCS, EMS and controls, thermal management, fire detection and suppression, and any transformer or switchgear forming part of the BESS.</w:t>
      </w:r>
    </w:p>
    <w:p w14:paraId="0EB1BE6F"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b/>
          <w:bCs/>
          <w:szCs w:val="22"/>
        </w:rPr>
        <w:t xml:space="preserve">“Material Breach” </w:t>
      </w:r>
      <w:r>
        <w:rPr>
          <w:rFonts w:asciiTheme="minorHAnsi" w:hAnsiTheme="minorHAnsi" w:cstheme="minorHAnsi"/>
          <w:szCs w:val="22"/>
        </w:rPr>
        <w:t>means any breach that significantly affects the performance, safety, availability, certification or regulatory compliance of the BESS, any breach expressly stated in this Agreement to be a material breach, and any repeated breach of the same obligation after notice.</w:t>
      </w:r>
    </w:p>
    <w:p w14:paraId="53E3719A"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b/>
          <w:bCs/>
          <w:szCs w:val="22"/>
        </w:rPr>
        <w:t>“</w:t>
      </w:r>
      <w:r>
        <w:rPr>
          <w:rFonts w:asciiTheme="minorHAnsi" w:hAnsiTheme="minorHAnsi" w:cstheme="minorHAnsi"/>
          <w:b/>
          <w:bCs/>
          <w:szCs w:val="22"/>
          <w:highlight w:val="yellow"/>
        </w:rPr>
        <w:t>Named Place of Destination</w:t>
      </w:r>
      <w:r>
        <w:rPr>
          <w:rFonts w:asciiTheme="minorHAnsi" w:hAnsiTheme="minorHAnsi" w:cstheme="minorHAnsi"/>
          <w:b/>
          <w:bCs/>
          <w:szCs w:val="22"/>
        </w:rPr>
        <w:t xml:space="preserve">” </w:t>
      </w:r>
      <w:r>
        <w:rPr>
          <w:rFonts w:asciiTheme="minorHAnsi" w:hAnsiTheme="minorHAnsi" w:cstheme="minorHAnsi"/>
          <w:szCs w:val="22"/>
        </w:rPr>
        <w:t>means the place stated in Clause 5.3.</w:t>
      </w:r>
    </w:p>
    <w:p w14:paraId="578A1382"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b/>
          <w:bCs/>
          <w:szCs w:val="22"/>
        </w:rPr>
        <w:t xml:space="preserve">“Notice to Proceed to Manufacture” </w:t>
      </w:r>
      <w:r>
        <w:rPr>
          <w:rFonts w:asciiTheme="minorHAnsi" w:hAnsiTheme="minorHAnsi" w:cstheme="minorHAnsi"/>
          <w:szCs w:val="22"/>
        </w:rPr>
        <w:t>means the written notice issued by the Buyer under Clause 16.</w:t>
      </w:r>
    </w:p>
    <w:p w14:paraId="671B5803"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b/>
          <w:bCs/>
          <w:szCs w:val="22"/>
        </w:rPr>
        <w:t xml:space="preserve">“Performance Guarantees” </w:t>
      </w:r>
      <w:r>
        <w:rPr>
          <w:rFonts w:asciiTheme="minorHAnsi" w:hAnsiTheme="minorHAnsi" w:cstheme="minorHAnsi"/>
          <w:szCs w:val="22"/>
        </w:rPr>
        <w:t xml:space="preserve">means the guaranteed Useable Capacity, round-trip efficiency, degradation, cycle life, power and Availability values stated in Clause 7 and </w:t>
      </w:r>
      <w:r>
        <w:rPr>
          <w:rFonts w:asciiTheme="minorHAnsi" w:hAnsiTheme="minorHAnsi" w:cstheme="minorHAnsi"/>
          <w:szCs w:val="22"/>
          <w:highlight w:val="cyan"/>
        </w:rPr>
        <w:t>APPENDIX G</w:t>
      </w:r>
      <w:r>
        <w:rPr>
          <w:rFonts w:asciiTheme="minorHAnsi" w:hAnsiTheme="minorHAnsi" w:cstheme="minorHAnsi"/>
          <w:szCs w:val="22"/>
        </w:rPr>
        <w:t>.</w:t>
      </w:r>
    </w:p>
    <w:p w14:paraId="1F0C599D" w14:textId="77777777" w:rsidR="009E333E" w:rsidRDefault="00000000">
      <w:pPr>
        <w:spacing w:after="120"/>
        <w:ind w:left="720"/>
        <w:jc w:val="both"/>
        <w:rPr>
          <w:rFonts w:asciiTheme="minorHAnsi" w:hAnsiTheme="minorHAnsi" w:cstheme="minorHAnsi"/>
          <w:szCs w:val="22"/>
        </w:rPr>
      </w:pPr>
      <w:r w:rsidRPr="00080D71">
        <w:rPr>
          <w:rFonts w:asciiTheme="minorHAnsi" w:hAnsiTheme="minorHAnsi" w:cstheme="minorHAnsi"/>
          <w:b/>
          <w:bCs/>
          <w:szCs w:val="22"/>
        </w:rPr>
        <w:t>“Product Family”</w:t>
      </w:r>
      <w:r>
        <w:rPr>
          <w:rFonts w:asciiTheme="minorHAnsi" w:hAnsiTheme="minorHAnsi" w:cstheme="minorHAnsi"/>
          <w:szCs w:val="22"/>
        </w:rPr>
        <w:t xml:space="preserve"> means the group of products sharing the Designated Cell platform and the same safety-relevant system design, as identified in </w:t>
      </w:r>
      <w:r>
        <w:rPr>
          <w:rFonts w:asciiTheme="minorHAnsi" w:hAnsiTheme="minorHAnsi" w:cstheme="minorHAnsi"/>
          <w:szCs w:val="22"/>
          <w:highlight w:val="cyan"/>
        </w:rPr>
        <w:t>APPENDIX R</w:t>
      </w:r>
      <w:r>
        <w:rPr>
          <w:rFonts w:asciiTheme="minorHAnsi" w:hAnsiTheme="minorHAnsi" w:cstheme="minorHAnsi"/>
          <w:szCs w:val="22"/>
        </w:rPr>
        <w:t>.</w:t>
      </w:r>
    </w:p>
    <w:p w14:paraId="37D68C71" w14:textId="2F04BA36" w:rsidR="009E333E" w:rsidRDefault="00000000">
      <w:pPr>
        <w:spacing w:after="120"/>
        <w:ind w:left="720"/>
        <w:jc w:val="both"/>
        <w:rPr>
          <w:rFonts w:asciiTheme="minorHAnsi" w:hAnsiTheme="minorHAnsi" w:cstheme="minorHAnsi"/>
          <w:szCs w:val="22"/>
        </w:rPr>
      </w:pPr>
      <w:r>
        <w:rPr>
          <w:rFonts w:asciiTheme="minorHAnsi" w:hAnsiTheme="minorHAnsi" w:cstheme="minorHAnsi"/>
          <w:b/>
          <w:bCs/>
          <w:szCs w:val="22"/>
        </w:rPr>
        <w:t>“Post-Delivery Inspection” and “Rejection Period” have the meanings given in Clause 6.1.</w:t>
      </w:r>
    </w:p>
    <w:p w14:paraId="3CD68B91"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b/>
          <w:bCs/>
          <w:szCs w:val="22"/>
        </w:rPr>
        <w:lastRenderedPageBreak/>
        <w:t xml:space="preserve">“Selected Third-Party” </w:t>
      </w:r>
      <w:r>
        <w:rPr>
          <w:rFonts w:asciiTheme="minorHAnsi" w:hAnsiTheme="minorHAnsi" w:cstheme="minorHAnsi"/>
          <w:szCs w:val="22"/>
        </w:rPr>
        <w:t>means in respect of any activity under this Agreement, the independent inspection, testing or battery analytics company appointed by the Buyer for that activity and notified to the Seller in writing. The Buyer may appoint different companies for different activities (for example factory monitoring and FAT witnessing, the Battery Analytics Solutions, laboratory cell testing, SAT witnessing or performance validation), may appoint one company for all of them, and may replace any of them on written notice. A reference to the Selected Third-Party in any provision is a reference to the company appointed for the activity concerned, together with its affiliates and sub-consultants. Where no company has been appointed for an activity, the Buyer performs it itself.</w:t>
      </w:r>
    </w:p>
    <w:p w14:paraId="0DB4FC37" w14:textId="3B45D427" w:rsidR="009E333E" w:rsidRDefault="00000000">
      <w:pPr>
        <w:spacing w:after="120"/>
        <w:ind w:left="720"/>
        <w:jc w:val="both"/>
        <w:rPr>
          <w:rFonts w:asciiTheme="minorHAnsi" w:hAnsiTheme="minorHAnsi" w:cstheme="minorHAnsi"/>
          <w:szCs w:val="22"/>
        </w:rPr>
      </w:pPr>
      <w:r>
        <w:rPr>
          <w:rFonts w:asciiTheme="minorHAnsi" w:hAnsiTheme="minorHAnsi" w:cstheme="minorHAnsi"/>
          <w:b/>
          <w:bCs/>
          <w:szCs w:val="22"/>
        </w:rPr>
        <w:t>“Serial Defect” has the meaning given in Clause 7.4.</w:t>
      </w:r>
    </w:p>
    <w:p w14:paraId="733C88D8" w14:textId="51873AEF" w:rsidR="009E333E" w:rsidRDefault="00000000">
      <w:pPr>
        <w:spacing w:after="120"/>
        <w:ind w:left="720"/>
        <w:jc w:val="both"/>
        <w:rPr>
          <w:rFonts w:asciiTheme="minorHAnsi" w:hAnsiTheme="minorHAnsi" w:cstheme="minorHAnsi"/>
          <w:szCs w:val="22"/>
        </w:rPr>
      </w:pPr>
      <w:r>
        <w:rPr>
          <w:rFonts w:asciiTheme="minorHAnsi" w:hAnsiTheme="minorHAnsi" w:cstheme="minorHAnsi"/>
          <w:b/>
          <w:bCs/>
          <w:szCs w:val="22"/>
        </w:rPr>
        <w:t xml:space="preserve">“Site” means the installation and operating location of the BESS described in </w:t>
      </w:r>
      <w:r>
        <w:rPr>
          <w:rFonts w:asciiTheme="minorHAnsi" w:hAnsiTheme="minorHAnsi" w:cstheme="minorHAnsi"/>
          <w:b/>
          <w:bCs/>
          <w:szCs w:val="22"/>
          <w:highlight w:val="cyan"/>
        </w:rPr>
        <w:t>APPENDIX A</w:t>
      </w:r>
      <w:r>
        <w:rPr>
          <w:rFonts w:asciiTheme="minorHAnsi" w:hAnsiTheme="minorHAnsi" w:cstheme="minorHAnsi"/>
          <w:b/>
          <w:bCs/>
          <w:szCs w:val="22"/>
        </w:rPr>
        <w:t>. Where CIF is selected under Clause 5.3, the Site may differ from the named port of destination.</w:t>
      </w:r>
    </w:p>
    <w:p w14:paraId="745AAF84" w14:textId="4F0DBBC0" w:rsidR="009E333E" w:rsidRDefault="00000000">
      <w:pPr>
        <w:spacing w:after="120"/>
        <w:ind w:left="720"/>
        <w:jc w:val="both"/>
        <w:rPr>
          <w:rFonts w:asciiTheme="minorHAnsi" w:hAnsiTheme="minorHAnsi" w:cstheme="minorHAnsi"/>
          <w:szCs w:val="22"/>
        </w:rPr>
      </w:pPr>
      <w:r>
        <w:rPr>
          <w:rFonts w:asciiTheme="minorHAnsi" w:hAnsiTheme="minorHAnsi" w:cstheme="minorHAnsi"/>
          <w:b/>
          <w:bCs/>
          <w:szCs w:val="22"/>
        </w:rPr>
        <w:t xml:space="preserve">“Site Acceptance Testing” or “SAT” means the tests set out in </w:t>
      </w:r>
      <w:r>
        <w:rPr>
          <w:rFonts w:asciiTheme="minorHAnsi" w:hAnsiTheme="minorHAnsi" w:cstheme="minorHAnsi"/>
          <w:b/>
          <w:bCs/>
          <w:szCs w:val="22"/>
          <w:highlight w:val="cyan"/>
        </w:rPr>
        <w:t>APPENDIX J</w:t>
      </w:r>
      <w:r>
        <w:rPr>
          <w:rFonts w:asciiTheme="minorHAnsi" w:hAnsiTheme="minorHAnsi" w:cstheme="minorHAnsi"/>
          <w:b/>
          <w:bCs/>
          <w:szCs w:val="22"/>
        </w:rPr>
        <w:t>.</w:t>
      </w:r>
    </w:p>
    <w:p w14:paraId="560C4E1E" w14:textId="77777777" w:rsidR="009E333E" w:rsidRDefault="00000000">
      <w:pPr>
        <w:spacing w:after="120"/>
        <w:ind w:left="720"/>
        <w:jc w:val="both"/>
        <w:rPr>
          <w:rFonts w:asciiTheme="minorHAnsi" w:hAnsiTheme="minorHAnsi" w:cstheme="minorHAnsi"/>
          <w:szCs w:val="22"/>
        </w:rPr>
      </w:pPr>
      <w:r w:rsidRPr="00080D71">
        <w:rPr>
          <w:rFonts w:asciiTheme="minorHAnsi" w:hAnsiTheme="minorHAnsi" w:cstheme="minorHAnsi"/>
          <w:b/>
          <w:bCs/>
          <w:szCs w:val="22"/>
        </w:rPr>
        <w:t>“Site Acceptance”</w:t>
      </w:r>
      <w:r>
        <w:rPr>
          <w:rFonts w:asciiTheme="minorHAnsi" w:hAnsiTheme="minorHAnsi" w:cstheme="minorHAnsi"/>
          <w:szCs w:val="22"/>
        </w:rPr>
        <w:t xml:space="preserve"> means satisfaction of the conditions in Clause 6.2.4, including any shortfall expressly accepted in writing by the Buyer under Clause 6.2.5.</w:t>
      </w:r>
    </w:p>
    <w:p w14:paraId="311DB5C8" w14:textId="77777777" w:rsidR="009E333E" w:rsidRDefault="00000000">
      <w:pPr>
        <w:spacing w:after="120"/>
        <w:ind w:left="720"/>
        <w:jc w:val="both"/>
        <w:rPr>
          <w:rFonts w:asciiTheme="minorHAnsi" w:hAnsiTheme="minorHAnsi" w:cstheme="minorHAnsi"/>
          <w:szCs w:val="22"/>
        </w:rPr>
      </w:pPr>
      <w:r w:rsidRPr="00080D71">
        <w:rPr>
          <w:rFonts w:asciiTheme="minorHAnsi" w:hAnsiTheme="minorHAnsi" w:cstheme="minorHAnsi"/>
          <w:b/>
          <w:bCs/>
          <w:szCs w:val="22"/>
        </w:rPr>
        <w:t>“Site Acceptance Certificate”</w:t>
      </w:r>
      <w:r>
        <w:rPr>
          <w:rFonts w:asciiTheme="minorHAnsi" w:hAnsiTheme="minorHAnsi" w:cstheme="minorHAnsi"/>
          <w:szCs w:val="22"/>
        </w:rPr>
        <w:t xml:space="preserve"> means the certificate issued by the Buyer under Clause 6.2.4; the Warranty Commencement Date is determined under Clause 7.1.5.</w:t>
      </w:r>
    </w:p>
    <w:p w14:paraId="5BD38E2D"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b/>
          <w:bCs/>
          <w:szCs w:val="22"/>
        </w:rPr>
        <w:t xml:space="preserve">“Software” </w:t>
      </w:r>
      <w:r>
        <w:rPr>
          <w:rFonts w:asciiTheme="minorHAnsi" w:hAnsiTheme="minorHAnsi" w:cstheme="minorHAnsi"/>
          <w:szCs w:val="22"/>
        </w:rPr>
        <w:t>means all firmware, software, source and object code, configuration files, communication protocols, register maps and updates embedded in or supplied with the BESS or required for its safe operation.</w:t>
      </w:r>
    </w:p>
    <w:p w14:paraId="5E0229FD"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b/>
          <w:bCs/>
          <w:szCs w:val="22"/>
        </w:rPr>
        <w:t xml:space="preserve">“Specification” </w:t>
      </w:r>
      <w:r>
        <w:rPr>
          <w:rFonts w:asciiTheme="minorHAnsi" w:hAnsiTheme="minorHAnsi" w:cstheme="minorHAnsi"/>
          <w:szCs w:val="22"/>
        </w:rPr>
        <w:t xml:space="preserve">means </w:t>
      </w:r>
      <w:r>
        <w:rPr>
          <w:rFonts w:asciiTheme="minorHAnsi" w:hAnsiTheme="minorHAnsi" w:cstheme="minorHAnsi"/>
          <w:szCs w:val="22"/>
          <w:highlight w:val="cyan"/>
        </w:rPr>
        <w:t>APPENDICES B to E</w:t>
      </w:r>
      <w:r>
        <w:rPr>
          <w:rFonts w:asciiTheme="minorHAnsi" w:hAnsiTheme="minorHAnsi" w:cstheme="minorHAnsi"/>
          <w:szCs w:val="22"/>
        </w:rPr>
        <w:t>, the technical documentation delivered under Clause 4.10, the BOM, the Critical Component List and the certification matrix delivered under Clause 4.8.</w:t>
      </w:r>
    </w:p>
    <w:p w14:paraId="1411C05B" w14:textId="60C7279F" w:rsidR="009E333E" w:rsidRDefault="00000000">
      <w:pPr>
        <w:spacing w:after="120"/>
        <w:ind w:left="720"/>
        <w:jc w:val="both"/>
        <w:rPr>
          <w:rFonts w:asciiTheme="minorHAnsi" w:hAnsiTheme="minorHAnsi" w:cstheme="minorHAnsi"/>
          <w:szCs w:val="22"/>
        </w:rPr>
      </w:pPr>
      <w:r>
        <w:rPr>
          <w:rFonts w:asciiTheme="minorHAnsi" w:hAnsiTheme="minorHAnsi" w:cstheme="minorHAnsi"/>
          <w:b/>
          <w:bCs/>
          <w:szCs w:val="22"/>
        </w:rPr>
        <w:t xml:space="preserve">“Useable Capacity” </w:t>
      </w:r>
      <w:r w:rsidRPr="00080D71">
        <w:rPr>
          <w:rFonts w:asciiTheme="minorHAnsi" w:hAnsiTheme="minorHAnsi" w:cstheme="minorHAnsi"/>
          <w:szCs w:val="22"/>
        </w:rPr>
        <w:t>has the meaning given in Clause 6.9 and is measured at the point of measurement stated there.</w:t>
      </w:r>
    </w:p>
    <w:p w14:paraId="080D16B0"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b/>
          <w:bCs/>
          <w:szCs w:val="22"/>
        </w:rPr>
        <w:t xml:space="preserve">“Variation” </w:t>
      </w:r>
      <w:r>
        <w:rPr>
          <w:rFonts w:asciiTheme="minorHAnsi" w:hAnsiTheme="minorHAnsi" w:cstheme="minorHAnsi"/>
          <w:szCs w:val="22"/>
        </w:rPr>
        <w:t>means a change to the scope, specification, quantity, delivery sequence, destination or price of the BESS instructed or agreed under Clause 4.11.</w:t>
      </w:r>
    </w:p>
    <w:p w14:paraId="792C172E" w14:textId="4CAF049B" w:rsidR="009E333E" w:rsidRDefault="00000000">
      <w:pPr>
        <w:spacing w:after="120"/>
        <w:ind w:left="720"/>
        <w:jc w:val="both"/>
        <w:rPr>
          <w:rFonts w:asciiTheme="minorHAnsi" w:hAnsiTheme="minorHAnsi" w:cstheme="minorHAnsi"/>
          <w:szCs w:val="22"/>
        </w:rPr>
      </w:pPr>
      <w:r>
        <w:rPr>
          <w:rFonts w:asciiTheme="minorHAnsi" w:hAnsiTheme="minorHAnsi" w:cstheme="minorHAnsi"/>
          <w:b/>
          <w:bCs/>
          <w:szCs w:val="22"/>
        </w:rPr>
        <w:t xml:space="preserve">“Warranty Period” </w:t>
      </w:r>
      <w:r w:rsidRPr="00080D71">
        <w:rPr>
          <w:rFonts w:asciiTheme="minorHAnsi" w:hAnsiTheme="minorHAnsi" w:cstheme="minorHAnsi"/>
          <w:szCs w:val="22"/>
        </w:rPr>
        <w:t xml:space="preserve">means the period stated in </w:t>
      </w:r>
      <w:r w:rsidRPr="00080D71">
        <w:rPr>
          <w:rFonts w:asciiTheme="minorHAnsi" w:hAnsiTheme="minorHAnsi" w:cstheme="minorHAnsi"/>
          <w:szCs w:val="22"/>
          <w:highlight w:val="cyan"/>
        </w:rPr>
        <w:t>APPENDIX G</w:t>
      </w:r>
      <w:r w:rsidRPr="00080D71">
        <w:rPr>
          <w:rFonts w:asciiTheme="minorHAnsi" w:hAnsiTheme="minorHAnsi" w:cstheme="minorHAnsi"/>
          <w:szCs w:val="22"/>
        </w:rPr>
        <w:t xml:space="preserve"> for each warranty, running from the Warranty Commencement Date determined under Clause 7.1.5 and extended in accordance with Clause 7.5.</w:t>
      </w:r>
    </w:p>
    <w:p w14:paraId="2B823739" w14:textId="77777777" w:rsidR="009E333E" w:rsidRDefault="00000000">
      <w:pPr>
        <w:pStyle w:val="Heading2"/>
        <w:spacing w:before="200" w:after="80"/>
        <w:ind w:left="360"/>
        <w:rPr>
          <w:rFonts w:asciiTheme="minorHAnsi" w:hAnsiTheme="minorHAnsi" w:cstheme="minorHAnsi"/>
          <w:szCs w:val="22"/>
        </w:rPr>
      </w:pPr>
      <w:r>
        <w:rPr>
          <w:rFonts w:asciiTheme="minorHAnsi" w:hAnsiTheme="minorHAnsi" w:cstheme="minorHAnsi"/>
          <w:szCs w:val="22"/>
        </w:rPr>
        <w:t>1.2 Interpretation</w:t>
      </w:r>
    </w:p>
    <w:p w14:paraId="3D8D54C2"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i/>
          <w:iCs/>
          <w:color w:val="1F4E79"/>
          <w:szCs w:val="22"/>
          <w:highlight w:val="green"/>
        </w:rPr>
        <w:t>Note for ESCA readers: the definition of Selected Third-Party is deliberately activity-based. In practice the factory monitoring, the Battery Analytics Solutions and the SAT witnessing may be performed by one company or by several; name the company appointed for each activity in the Purchase Order (APPENDIX A) and notify the Seller in writing when it changes.</w:t>
      </w:r>
    </w:p>
    <w:p w14:paraId="71F96227" w14:textId="7150902A"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(a) headings are for convenience only; (b) “including” and similar words are illustrative and not limiting; (c) the singular includes the plural and vice versa; (d) a reference to a Clause or Appendix is to a clause of or appendix to this Agreement; (e) an obligation of the Seller includes an obligation to procure that its affiliates, subcontractors and sub-suppliers comply; (f) where a consent or approval of the Buyer is required it may be given or withheld at the Buyer’s discretion unless this Agreement states otherwise; </w:t>
      </w:r>
      <w:r>
        <w:rPr>
          <w:rFonts w:asciiTheme="minorHAnsi" w:hAnsiTheme="minorHAnsi" w:cstheme="minorHAnsi"/>
          <w:szCs w:val="22"/>
        </w:rPr>
        <w:t>(g) a reference to a law or standard is to that law or standard as amended or replaced from time to time, subject to Clause 4.12;</w:t>
      </w:r>
      <w:r>
        <w:rPr>
          <w:rFonts w:asciiTheme="minorHAnsi" w:hAnsiTheme="minorHAnsi" w:cstheme="minorHAnsi"/>
          <w:szCs w:val="22"/>
        </w:rPr>
        <w:t xml:space="preserve"> (h) “days” are calendar days </w:t>
      </w:r>
      <w:r>
        <w:rPr>
          <w:rFonts w:asciiTheme="minorHAnsi" w:hAnsiTheme="minorHAnsi" w:cstheme="minorHAnsi"/>
          <w:szCs w:val="22"/>
        </w:rPr>
        <w:lastRenderedPageBreak/>
        <w:t>unless “Business Days” is stated; (i) text highlighted in cyan is a cross-reference to an Appendix and text highlighted in yellow is a project-specific item to be completed before signature.</w:t>
      </w:r>
    </w:p>
    <w:p w14:paraId="07375D8B" w14:textId="77777777" w:rsidR="009E333E" w:rsidRDefault="00000000">
      <w:pPr>
        <w:pStyle w:val="Heading1"/>
        <w:spacing w:after="120"/>
        <w:jc w:val="left"/>
        <w:rPr>
          <w:rFonts w:asciiTheme="minorHAnsi" w:hAnsiTheme="minorHAnsi" w:cstheme="minorHAnsi"/>
          <w:szCs w:val="22"/>
        </w:rPr>
      </w:pPr>
      <w:bookmarkStart w:id="3" w:name="_Toc242471392"/>
      <w:r>
        <w:rPr>
          <w:rFonts w:asciiTheme="minorHAnsi" w:hAnsiTheme="minorHAnsi" w:cstheme="minorHAnsi"/>
          <w:szCs w:val="22"/>
        </w:rPr>
        <w:t>2. Agreement Parties</w:t>
      </w:r>
      <w:bookmarkEnd w:id="3"/>
    </w:p>
    <w:p w14:paraId="720C5C35" w14:textId="5757F9E8" w:rsidR="009E333E" w:rsidRDefault="00000000">
      <w:pPr>
        <w:spacing w:after="120"/>
        <w:jc w:val="both"/>
        <w:rPr>
          <w:rFonts w:asciiTheme="minorHAnsi" w:hAnsiTheme="minorHAnsi" w:cstheme="minorHAnsi"/>
          <w:szCs w:val="22"/>
        </w:rPr>
      </w:pPr>
      <w:r>
        <w:rPr>
          <w:rFonts w:asciiTheme="minorHAnsi" w:hAnsiTheme="minorHAnsi" w:cstheme="minorHAnsi"/>
          <w:szCs w:val="22"/>
        </w:rPr>
        <w:t xml:space="preserve">This Battery Energy Storage System (BESS) Supply and Purchase Agreement (hereinafter referred to as the “Agreement”) </w:t>
      </w:r>
      <w:r>
        <w:rPr>
          <w:rFonts w:asciiTheme="minorHAnsi" w:hAnsiTheme="minorHAnsi" w:cstheme="minorHAnsi"/>
          <w:szCs w:val="22"/>
        </w:rPr>
        <w:t>is made between the following Parties and takes effect on the Effective Date:</w:t>
      </w:r>
    </w:p>
    <w:p w14:paraId="5F3A5EBA" w14:textId="651B2E18" w:rsidR="009E333E" w:rsidRDefault="00000000">
      <w:pPr>
        <w:spacing w:after="120"/>
        <w:jc w:val="both"/>
        <w:rPr>
          <w:rFonts w:asciiTheme="minorHAnsi" w:hAnsiTheme="minorHAnsi" w:cstheme="minorHAnsi"/>
          <w:szCs w:val="22"/>
        </w:rPr>
      </w:pPr>
      <w:r>
        <w:rPr>
          <w:rFonts w:asciiTheme="minorHAnsi" w:hAnsiTheme="minorHAnsi" w:cstheme="minorHAnsi"/>
          <w:szCs w:val="22"/>
          <w:highlight w:val="yellow"/>
        </w:rPr>
        <w:t>_____________________</w:t>
      </w:r>
      <w:r>
        <w:rPr>
          <w:rFonts w:asciiTheme="minorHAnsi" w:hAnsiTheme="minorHAnsi" w:cstheme="minorHAnsi"/>
          <w:szCs w:val="22"/>
        </w:rPr>
        <w:t xml:space="preserve">, </w:t>
      </w:r>
      <w:r>
        <w:rPr>
          <w:rFonts w:asciiTheme="minorHAnsi" w:hAnsiTheme="minorHAnsi" w:cstheme="minorHAnsi"/>
          <w:szCs w:val="22"/>
        </w:rPr>
        <w:t>a company incorporated under the laws of</w:t>
      </w:r>
      <w:r>
        <w:rPr>
          <w:rFonts w:asciiTheme="minorHAnsi" w:hAnsiTheme="minorHAnsi" w:cstheme="minorHAnsi"/>
          <w:szCs w:val="22"/>
        </w:rPr>
        <w:t xml:space="preserve"> </w:t>
      </w:r>
      <w:r>
        <w:rPr>
          <w:rFonts w:asciiTheme="minorHAnsi" w:hAnsiTheme="minorHAnsi" w:cstheme="minorHAnsi"/>
          <w:szCs w:val="22"/>
          <w:highlight w:val="yellow"/>
        </w:rPr>
        <w:t>___________</w:t>
      </w:r>
      <w:r>
        <w:rPr>
          <w:rFonts w:asciiTheme="minorHAnsi" w:hAnsiTheme="minorHAnsi" w:cstheme="minorHAnsi"/>
          <w:szCs w:val="22"/>
        </w:rPr>
        <w:t xml:space="preserve">, having its registered office located at </w:t>
      </w:r>
      <w:r>
        <w:rPr>
          <w:rFonts w:asciiTheme="minorHAnsi" w:hAnsiTheme="minorHAnsi" w:cstheme="minorHAnsi"/>
          <w:szCs w:val="22"/>
          <w:highlight w:val="yellow"/>
        </w:rPr>
        <w:t>____________________</w:t>
      </w:r>
      <w:r>
        <w:rPr>
          <w:rFonts w:asciiTheme="minorHAnsi" w:hAnsiTheme="minorHAnsi" w:cstheme="minorHAnsi"/>
          <w:szCs w:val="22"/>
        </w:rPr>
        <w:t xml:space="preserve"> (hereinafter also referred to as the “Seller”),</w:t>
      </w:r>
    </w:p>
    <w:p w14:paraId="5D5100FA" w14:textId="77777777" w:rsidR="009E333E" w:rsidRDefault="00000000">
      <w:pPr>
        <w:spacing w:after="120"/>
        <w:jc w:val="both"/>
        <w:rPr>
          <w:rFonts w:asciiTheme="minorHAnsi" w:hAnsiTheme="minorHAnsi" w:cstheme="minorHAnsi"/>
          <w:szCs w:val="22"/>
        </w:rPr>
      </w:pPr>
      <w:r>
        <w:rPr>
          <w:rFonts w:asciiTheme="minorHAnsi" w:hAnsiTheme="minorHAnsi" w:cstheme="minorHAnsi"/>
          <w:szCs w:val="22"/>
        </w:rPr>
        <w:t>And</w:t>
      </w:r>
    </w:p>
    <w:p w14:paraId="079F56E2" w14:textId="5EC42F60" w:rsidR="009E333E" w:rsidRDefault="00000000">
      <w:pPr>
        <w:spacing w:after="120"/>
        <w:jc w:val="both"/>
        <w:rPr>
          <w:rFonts w:asciiTheme="minorHAnsi" w:hAnsiTheme="minorHAnsi" w:cstheme="minorHAnsi"/>
          <w:szCs w:val="22"/>
        </w:rPr>
      </w:pPr>
      <w:r>
        <w:rPr>
          <w:rFonts w:asciiTheme="minorHAnsi" w:hAnsiTheme="minorHAnsi" w:cstheme="minorHAnsi"/>
          <w:szCs w:val="22"/>
          <w:highlight w:val="yellow"/>
        </w:rPr>
        <w:t>_____________________</w:t>
      </w:r>
      <w:r>
        <w:rPr>
          <w:rFonts w:asciiTheme="minorHAnsi" w:hAnsiTheme="minorHAnsi" w:cstheme="minorHAnsi"/>
          <w:szCs w:val="22"/>
        </w:rPr>
        <w:t xml:space="preserve">, </w:t>
      </w:r>
      <w:r>
        <w:rPr>
          <w:rFonts w:asciiTheme="minorHAnsi" w:hAnsiTheme="minorHAnsi" w:cstheme="minorHAnsi"/>
          <w:szCs w:val="22"/>
        </w:rPr>
        <w:t>a company incorporated under the laws of</w:t>
      </w:r>
      <w:r>
        <w:rPr>
          <w:rFonts w:asciiTheme="minorHAnsi" w:hAnsiTheme="minorHAnsi" w:cstheme="minorHAnsi"/>
          <w:szCs w:val="22"/>
        </w:rPr>
        <w:t xml:space="preserve"> </w:t>
      </w:r>
      <w:r>
        <w:rPr>
          <w:rFonts w:asciiTheme="minorHAnsi" w:hAnsiTheme="minorHAnsi" w:cstheme="minorHAnsi"/>
          <w:szCs w:val="22"/>
          <w:highlight w:val="yellow"/>
        </w:rPr>
        <w:t>_______________</w:t>
      </w:r>
      <w:r>
        <w:rPr>
          <w:rFonts w:asciiTheme="minorHAnsi" w:hAnsiTheme="minorHAnsi" w:cstheme="minorHAnsi"/>
          <w:szCs w:val="22"/>
        </w:rPr>
        <w:t xml:space="preserve">, having its registered office located at </w:t>
      </w:r>
      <w:r>
        <w:rPr>
          <w:rFonts w:asciiTheme="minorHAnsi" w:hAnsiTheme="minorHAnsi" w:cstheme="minorHAnsi"/>
          <w:szCs w:val="22"/>
          <w:highlight w:val="yellow"/>
        </w:rPr>
        <w:t>____________________</w:t>
      </w:r>
      <w:r>
        <w:rPr>
          <w:rFonts w:asciiTheme="minorHAnsi" w:hAnsiTheme="minorHAnsi" w:cstheme="minorHAnsi"/>
          <w:szCs w:val="22"/>
        </w:rPr>
        <w:t xml:space="preserve"> (hereinafter also referred to as the “Buyer”),</w:t>
      </w:r>
    </w:p>
    <w:p w14:paraId="06D4CA56" w14:textId="77777777" w:rsidR="009E333E" w:rsidRDefault="00000000">
      <w:pPr>
        <w:spacing w:after="120"/>
        <w:jc w:val="both"/>
        <w:rPr>
          <w:rFonts w:asciiTheme="minorHAnsi" w:hAnsiTheme="minorHAnsi" w:cstheme="minorHAnsi"/>
          <w:szCs w:val="22"/>
        </w:rPr>
      </w:pPr>
      <w:r>
        <w:rPr>
          <w:rFonts w:asciiTheme="minorHAnsi" w:hAnsiTheme="minorHAnsi" w:cstheme="minorHAnsi"/>
          <w:szCs w:val="22"/>
        </w:rPr>
        <w:t>hereinafter referred to together as the “Parties” and individually as the “Party”.</w:t>
      </w:r>
    </w:p>
    <w:p w14:paraId="2C62FB7E" w14:textId="77777777" w:rsidR="009E333E" w:rsidRDefault="00000000">
      <w:pPr>
        <w:spacing w:after="120"/>
        <w:jc w:val="both"/>
        <w:rPr>
          <w:rFonts w:asciiTheme="minorHAnsi" w:hAnsiTheme="minorHAnsi" w:cstheme="minorHAnsi"/>
          <w:szCs w:val="22"/>
        </w:rPr>
      </w:pPr>
      <w:r>
        <w:rPr>
          <w:rFonts w:asciiTheme="minorHAnsi" w:hAnsiTheme="minorHAnsi" w:cstheme="minorHAnsi"/>
          <w:b/>
          <w:bCs/>
          <w:szCs w:val="22"/>
        </w:rPr>
        <w:t>WHEREAS:</w:t>
      </w:r>
    </w:p>
    <w:p w14:paraId="6C56D7BA" w14:textId="77777777" w:rsidR="009E333E" w:rsidRDefault="00000000">
      <w:pPr>
        <w:spacing w:after="120"/>
        <w:jc w:val="both"/>
        <w:rPr>
          <w:rFonts w:asciiTheme="minorHAnsi" w:hAnsiTheme="minorHAnsi" w:cstheme="minorHAnsi"/>
          <w:szCs w:val="22"/>
        </w:rPr>
      </w:pPr>
      <w:r>
        <w:rPr>
          <w:rFonts w:asciiTheme="minorHAnsi" w:hAnsiTheme="minorHAnsi" w:cstheme="minorHAnsi"/>
          <w:szCs w:val="22"/>
        </w:rPr>
        <w:t xml:space="preserve">Seller is a manufacturer and supplier of Battery Energy Storage System (BESS) manufactured at its factory located in </w:t>
      </w:r>
      <w:r>
        <w:rPr>
          <w:rFonts w:asciiTheme="minorHAnsi" w:hAnsiTheme="minorHAnsi" w:cstheme="minorHAnsi"/>
          <w:szCs w:val="22"/>
          <w:highlight w:val="yellow"/>
        </w:rPr>
        <w:t>______[Location / Address / Country]______</w:t>
      </w:r>
      <w:r>
        <w:rPr>
          <w:rFonts w:asciiTheme="minorHAnsi" w:hAnsiTheme="minorHAnsi" w:cstheme="minorHAnsi"/>
          <w:szCs w:val="22"/>
        </w:rPr>
        <w:t>. The Seller has a long and proven existence and experience in the area of designing, manufacturing, testing, marketing, distributing and selling Battery Energy Storage System (BESS) for grid-connected and behind-the-meter energy storage applications.</w:t>
      </w:r>
    </w:p>
    <w:p w14:paraId="5A9EFB4C" w14:textId="275A5BDB" w:rsidR="009E333E" w:rsidRDefault="00000000">
      <w:pPr>
        <w:spacing w:after="120"/>
        <w:jc w:val="both"/>
        <w:rPr>
          <w:rFonts w:asciiTheme="minorHAnsi" w:hAnsiTheme="minorHAnsi" w:cstheme="minorHAnsi"/>
          <w:szCs w:val="22"/>
        </w:rPr>
      </w:pPr>
      <w:r>
        <w:rPr>
          <w:rFonts w:asciiTheme="minorHAnsi" w:hAnsiTheme="minorHAnsi" w:cstheme="minorHAnsi"/>
          <w:szCs w:val="22"/>
        </w:rPr>
        <w:t xml:space="preserve">Buyer is interested in purchasing Battery Energy Storage System (BESS) from the Seller, and the Seller desires and has the necessary capability and experience to supply the Battery Energy Storage System (BESS) pursuant to the terms and conditions set forth in this Agreement. </w:t>
      </w:r>
      <w:r>
        <w:rPr>
          <w:rFonts w:asciiTheme="minorHAnsi" w:hAnsiTheme="minorHAnsi" w:cstheme="minorHAnsi"/>
          <w:szCs w:val="22"/>
        </w:rPr>
        <w:t>Subject to the inspection, shipment release and acceptance provisions of this Agreement, the Buyer agrees to purchase the BESS from the Seller.</w:t>
      </w:r>
    </w:p>
    <w:p w14:paraId="201B6EB3" w14:textId="50829C33" w:rsidR="009E333E" w:rsidRDefault="00000000">
      <w:pPr>
        <w:spacing w:after="120"/>
        <w:jc w:val="both"/>
        <w:rPr>
          <w:rFonts w:asciiTheme="minorHAnsi" w:hAnsiTheme="minorHAnsi" w:cstheme="minorHAnsi"/>
          <w:szCs w:val="22"/>
        </w:rPr>
      </w:pPr>
      <w:r>
        <w:rPr>
          <w:rFonts w:asciiTheme="minorHAnsi" w:hAnsiTheme="minorHAnsi" w:cstheme="minorHAnsi"/>
          <w:szCs w:val="22"/>
        </w:rPr>
        <w:t xml:space="preserve">Thus, the Parties wish to determine the terms and conditions under which (i) Seller will manufacture and supply BESS to Buyer, (ii) </w:t>
      </w:r>
      <w:r>
        <w:rPr>
          <w:rFonts w:asciiTheme="minorHAnsi" w:hAnsiTheme="minorHAnsi" w:cstheme="minorHAnsi"/>
          <w:szCs w:val="22"/>
        </w:rPr>
        <w:t>the Selected Third-Party will inspect the BESS before shipment release and Site Acceptance</w:t>
      </w:r>
      <w:r>
        <w:rPr>
          <w:rFonts w:asciiTheme="minorHAnsi" w:hAnsiTheme="minorHAnsi" w:cstheme="minorHAnsi"/>
          <w:szCs w:val="22"/>
        </w:rPr>
        <w:t>, and (iii) Buyer will purchase and pay for such BESS supplied by Seller.</w:t>
      </w:r>
    </w:p>
    <w:p w14:paraId="57728591" w14:textId="77777777" w:rsidR="009E333E" w:rsidRDefault="00000000">
      <w:pPr>
        <w:spacing w:after="120"/>
        <w:jc w:val="both"/>
        <w:rPr>
          <w:rFonts w:asciiTheme="minorHAnsi" w:hAnsiTheme="minorHAnsi" w:cstheme="minorHAnsi"/>
          <w:szCs w:val="22"/>
        </w:rPr>
      </w:pPr>
      <w:r>
        <w:rPr>
          <w:rFonts w:asciiTheme="minorHAnsi" w:hAnsiTheme="minorHAnsi" w:cstheme="minorHAnsi"/>
          <w:szCs w:val="22"/>
        </w:rPr>
        <w:t>NOW THEREFORE, in consideration of the PREMISES, MUTUAL promises and covenants exchanged herein, and for other good and valuable consideration, the sufficiency of which is hereby acknowledged, and intending to be legally bound HEREBY, the parties have agreed as follows:</w:t>
      </w:r>
    </w:p>
    <w:p w14:paraId="5F7B02E3" w14:textId="77777777" w:rsidR="009E333E" w:rsidRDefault="00000000">
      <w:pPr>
        <w:pStyle w:val="Heading1"/>
        <w:spacing w:after="120"/>
        <w:jc w:val="left"/>
        <w:rPr>
          <w:rFonts w:asciiTheme="minorHAnsi" w:hAnsiTheme="minorHAnsi" w:cstheme="minorHAnsi"/>
          <w:szCs w:val="22"/>
        </w:rPr>
      </w:pPr>
      <w:bookmarkStart w:id="4" w:name="_Toc242471393"/>
      <w:r>
        <w:rPr>
          <w:rFonts w:asciiTheme="minorHAnsi" w:hAnsiTheme="minorHAnsi" w:cstheme="minorHAnsi"/>
          <w:szCs w:val="22"/>
        </w:rPr>
        <w:t>3. Purpose and Scope of the Agreement</w:t>
      </w:r>
      <w:bookmarkEnd w:id="4"/>
    </w:p>
    <w:p w14:paraId="0D2A97EF" w14:textId="3DAF40D8"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This Agreement sets forth the terms and conditions under which (i) Seller shall manufacture and supply BESS to Buyer, (ii) </w:t>
      </w:r>
      <w:r>
        <w:rPr>
          <w:rFonts w:asciiTheme="minorHAnsi" w:hAnsiTheme="minorHAnsi" w:cstheme="minorHAnsi"/>
          <w:szCs w:val="22"/>
        </w:rPr>
        <w:t>the Selected Third-Party shall inspect the BESS before shipment release and Site Acceptance</w:t>
      </w:r>
      <w:r>
        <w:rPr>
          <w:rFonts w:asciiTheme="minorHAnsi" w:hAnsiTheme="minorHAnsi" w:cstheme="minorHAnsi"/>
          <w:szCs w:val="22"/>
        </w:rPr>
        <w:t>, and (iii) Buyer shall purchase and pay for such BESS supplied by Seller.</w:t>
      </w:r>
    </w:p>
    <w:p w14:paraId="36135AA8" w14:textId="77777777" w:rsidR="009E333E" w:rsidRDefault="00000000">
      <w:pPr>
        <w:pStyle w:val="Heading1"/>
        <w:spacing w:after="120"/>
        <w:jc w:val="left"/>
        <w:rPr>
          <w:rFonts w:asciiTheme="minorHAnsi" w:hAnsiTheme="minorHAnsi" w:cstheme="minorHAnsi"/>
          <w:szCs w:val="22"/>
        </w:rPr>
      </w:pPr>
      <w:bookmarkStart w:id="5" w:name="_Toc242471394"/>
      <w:r>
        <w:rPr>
          <w:rFonts w:asciiTheme="minorHAnsi" w:hAnsiTheme="minorHAnsi" w:cstheme="minorHAnsi"/>
          <w:szCs w:val="22"/>
        </w:rPr>
        <w:t>4. Contract Price, Specification and Product Compliance</w:t>
      </w:r>
      <w:bookmarkEnd w:id="5"/>
    </w:p>
    <w:p w14:paraId="1F89A6AA" w14:textId="77777777" w:rsidR="009E333E" w:rsidRDefault="00000000">
      <w:pPr>
        <w:pStyle w:val="Heading2"/>
        <w:spacing w:before="200" w:after="80"/>
        <w:ind w:left="360"/>
        <w:rPr>
          <w:rFonts w:asciiTheme="minorHAnsi" w:hAnsiTheme="minorHAnsi" w:cstheme="minorHAnsi"/>
          <w:szCs w:val="22"/>
        </w:rPr>
      </w:pPr>
      <w:r>
        <w:rPr>
          <w:rFonts w:asciiTheme="minorHAnsi" w:hAnsiTheme="minorHAnsi" w:cstheme="minorHAnsi"/>
          <w:szCs w:val="22"/>
        </w:rPr>
        <w:t>4.1 Contract Price</w:t>
      </w:r>
    </w:p>
    <w:p w14:paraId="7ECB941B"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In accordance with the terms, conditions and specifications as provided under the Agreement, Seller hereby agrees to sell, and the Buyer agrees to buy the following BESS:</w:t>
      </w:r>
    </w:p>
    <w:tbl>
      <w:tblPr>
        <w:tblW w:w="10745" w:type="dxa"/>
        <w:tblLook w:val="04A0" w:firstRow="1" w:lastRow="0" w:firstColumn="1" w:lastColumn="0" w:noHBand="0" w:noVBand="1"/>
      </w:tblPr>
      <w:tblGrid>
        <w:gridCol w:w="990"/>
        <w:gridCol w:w="2574"/>
        <w:gridCol w:w="1222"/>
        <w:gridCol w:w="1418"/>
        <w:gridCol w:w="1481"/>
        <w:gridCol w:w="3124"/>
      </w:tblGrid>
      <w:tr w:rsidR="002026B7" w:rsidRPr="006F38E6" w14:paraId="0C4379B1" w14:textId="77777777">
        <w:trPr>
          <w:trHeight w:val="599"/>
        </w:trPr>
        <w:tc>
          <w:tcPr>
            <w:tcW w:w="990" w:type="dxa"/>
            <w:tcBorders>
              <w:top w:val="single" w:sz="4" w:space="0" w:color="auto"/>
              <w:left w:val="single" w:sz="4" w:space="0" w:color="auto"/>
              <w:bottom w:val="single" w:sz="4" w:space="0" w:color="auto"/>
              <w:right w:val="single" w:sz="4" w:space="0" w:color="auto"/>
            </w:tcBorders>
            <w:noWrap/>
            <w:vAlign w:val="center"/>
            <w:hideMark/>
          </w:tcPr>
          <w:p w14:paraId="62FDD388" w14:textId="77777777" w:rsidR="002026B7" w:rsidRPr="006F38E6" w:rsidRDefault="002026B7">
            <w:pPr>
              <w:jc w:val="center"/>
              <w:rPr>
                <w:rFonts w:asciiTheme="minorHAnsi" w:eastAsia="SimSun" w:hAnsiTheme="minorHAnsi" w:cstheme="minorHAnsi"/>
                <w:b/>
                <w:bCs/>
                <w:szCs w:val="22"/>
                <w:lang w:eastAsia="zh-CN"/>
              </w:rPr>
            </w:pPr>
            <w:r>
              <w:rPr>
                <w:rFonts w:asciiTheme="minorHAnsi" w:eastAsia="SimSun" w:hAnsiTheme="minorHAnsi" w:cstheme="minorHAnsi"/>
                <w:b/>
                <w:bCs/>
                <w:szCs w:val="22"/>
                <w:lang w:eastAsia="zh-CN"/>
              </w:rPr>
              <w:t>ITEMS</w:t>
            </w:r>
          </w:p>
        </w:tc>
        <w:tc>
          <w:tcPr>
            <w:tcW w:w="2574" w:type="dxa"/>
            <w:tcBorders>
              <w:top w:val="single" w:sz="4" w:space="0" w:color="auto"/>
              <w:left w:val="nil"/>
              <w:bottom w:val="single" w:sz="4" w:space="0" w:color="auto"/>
              <w:right w:val="single" w:sz="4" w:space="0" w:color="auto"/>
            </w:tcBorders>
            <w:noWrap/>
            <w:vAlign w:val="center"/>
            <w:hideMark/>
          </w:tcPr>
          <w:p w14:paraId="3EA8EEAF" w14:textId="77777777" w:rsidR="002026B7" w:rsidRPr="006F38E6" w:rsidRDefault="002026B7">
            <w:pPr>
              <w:jc w:val="center"/>
              <w:rPr>
                <w:rFonts w:asciiTheme="minorHAnsi" w:eastAsia="SimSun" w:hAnsiTheme="minorHAnsi" w:cstheme="minorHAnsi"/>
                <w:b/>
                <w:bCs/>
                <w:szCs w:val="22"/>
                <w:lang w:eastAsia="zh-CN"/>
              </w:rPr>
            </w:pPr>
            <w:r>
              <w:rPr>
                <w:rFonts w:asciiTheme="minorHAnsi" w:eastAsia="SimSun" w:hAnsiTheme="minorHAnsi" w:cstheme="minorHAnsi"/>
                <w:b/>
                <w:bCs/>
                <w:szCs w:val="22"/>
                <w:lang w:eastAsia="zh-CN"/>
              </w:rPr>
              <w:t>DESCRIPTION OF BESS</w:t>
            </w:r>
          </w:p>
        </w:tc>
        <w:tc>
          <w:tcPr>
            <w:tcW w:w="1222" w:type="dxa"/>
            <w:tcBorders>
              <w:top w:val="single" w:sz="4" w:space="0" w:color="auto"/>
              <w:left w:val="nil"/>
              <w:bottom w:val="single" w:sz="4" w:space="0" w:color="auto"/>
              <w:right w:val="single" w:sz="4" w:space="0" w:color="auto"/>
            </w:tcBorders>
            <w:noWrap/>
            <w:vAlign w:val="center"/>
            <w:hideMark/>
          </w:tcPr>
          <w:p w14:paraId="71D98716" w14:textId="77777777" w:rsidR="002026B7" w:rsidRPr="006F38E6" w:rsidRDefault="002026B7">
            <w:pPr>
              <w:jc w:val="center"/>
              <w:rPr>
                <w:rFonts w:asciiTheme="minorHAnsi" w:eastAsia="SimSun" w:hAnsiTheme="minorHAnsi" w:cstheme="minorHAnsi"/>
                <w:b/>
                <w:bCs/>
                <w:szCs w:val="22"/>
                <w:lang w:eastAsia="zh-CN"/>
              </w:rPr>
            </w:pPr>
            <w:r>
              <w:rPr>
                <w:rFonts w:asciiTheme="minorHAnsi" w:eastAsia="SimSun" w:hAnsiTheme="minorHAnsi" w:cstheme="minorHAnsi"/>
                <w:b/>
                <w:bCs/>
                <w:szCs w:val="22"/>
                <w:lang w:eastAsia="zh-CN"/>
              </w:rPr>
              <w:t>QUANTITY (Pcs)</w:t>
            </w:r>
          </w:p>
        </w:tc>
        <w:tc>
          <w:tcPr>
            <w:tcW w:w="1418" w:type="dxa"/>
            <w:tcBorders>
              <w:top w:val="single" w:sz="4" w:space="0" w:color="auto"/>
              <w:left w:val="nil"/>
              <w:bottom w:val="single" w:sz="4" w:space="0" w:color="auto"/>
              <w:right w:val="single" w:sz="4" w:space="0" w:color="auto"/>
            </w:tcBorders>
            <w:noWrap/>
            <w:vAlign w:val="center"/>
            <w:hideMark/>
          </w:tcPr>
          <w:p w14:paraId="41205D30" w14:textId="77777777" w:rsidR="002026B7" w:rsidRPr="006F38E6" w:rsidRDefault="002026B7">
            <w:pPr>
              <w:jc w:val="center"/>
              <w:rPr>
                <w:rFonts w:asciiTheme="minorHAnsi" w:eastAsia="SimSun" w:hAnsiTheme="minorHAnsi" w:cstheme="minorHAnsi"/>
                <w:b/>
                <w:bCs/>
                <w:szCs w:val="22"/>
                <w:lang w:eastAsia="zh-CN"/>
              </w:rPr>
            </w:pPr>
            <w:r>
              <w:rPr>
                <w:rFonts w:asciiTheme="minorHAnsi" w:eastAsia="SimSun" w:hAnsiTheme="minorHAnsi" w:cstheme="minorHAnsi"/>
                <w:b/>
                <w:bCs/>
                <w:szCs w:val="22"/>
                <w:lang w:eastAsia="zh-CN"/>
              </w:rPr>
              <w:t>QUANTITY (MW &amp; MWh)</w:t>
            </w:r>
          </w:p>
        </w:tc>
        <w:tc>
          <w:tcPr>
            <w:tcW w:w="1417" w:type="dxa"/>
            <w:tcBorders>
              <w:top w:val="single" w:sz="4" w:space="0" w:color="auto"/>
              <w:left w:val="nil"/>
              <w:bottom w:val="single" w:sz="4" w:space="0" w:color="auto"/>
              <w:right w:val="single" w:sz="4" w:space="0" w:color="auto"/>
            </w:tcBorders>
            <w:noWrap/>
            <w:vAlign w:val="center"/>
            <w:hideMark/>
          </w:tcPr>
          <w:p w14:paraId="11A3E091" w14:textId="77777777" w:rsidR="002026B7" w:rsidRPr="006F38E6" w:rsidRDefault="002026B7">
            <w:pPr>
              <w:jc w:val="center"/>
              <w:rPr>
                <w:rFonts w:asciiTheme="minorHAnsi" w:eastAsia="SimSun" w:hAnsiTheme="minorHAnsi" w:cstheme="minorHAnsi"/>
                <w:b/>
                <w:bCs/>
                <w:szCs w:val="22"/>
                <w:lang w:eastAsia="zh-CN"/>
              </w:rPr>
            </w:pPr>
            <w:r>
              <w:rPr>
                <w:rFonts w:asciiTheme="minorHAnsi" w:eastAsia="SimSun" w:hAnsiTheme="minorHAnsi" w:cstheme="minorHAnsi"/>
                <w:b/>
                <w:bCs/>
                <w:szCs w:val="22"/>
                <w:lang w:eastAsia="zh-CN"/>
              </w:rPr>
              <w:t>UNIT PRICE (EURO/MWh)</w:t>
            </w:r>
          </w:p>
        </w:tc>
        <w:tc>
          <w:tcPr>
            <w:tcW w:w="3124" w:type="dxa"/>
            <w:tcBorders>
              <w:top w:val="single" w:sz="4" w:space="0" w:color="auto"/>
              <w:left w:val="nil"/>
              <w:bottom w:val="single" w:sz="4" w:space="0" w:color="auto"/>
              <w:right w:val="single" w:sz="4" w:space="0" w:color="auto"/>
            </w:tcBorders>
            <w:noWrap/>
            <w:vAlign w:val="center"/>
            <w:hideMark/>
          </w:tcPr>
          <w:p w14:paraId="56EAE441" w14:textId="77777777" w:rsidR="002026B7" w:rsidRPr="006F38E6" w:rsidRDefault="002026B7">
            <w:pPr>
              <w:jc w:val="center"/>
              <w:rPr>
                <w:rFonts w:asciiTheme="minorHAnsi" w:eastAsia="SimSun" w:hAnsiTheme="minorHAnsi" w:cstheme="minorHAnsi"/>
                <w:b/>
                <w:bCs/>
                <w:szCs w:val="22"/>
                <w:lang w:eastAsia="zh-CN"/>
              </w:rPr>
            </w:pPr>
            <w:r>
              <w:rPr>
                <w:rFonts w:asciiTheme="minorHAnsi" w:eastAsia="SimSun" w:hAnsiTheme="minorHAnsi" w:cstheme="minorHAnsi"/>
                <w:b/>
                <w:bCs/>
                <w:szCs w:val="22"/>
                <w:lang w:eastAsia="zh-CN"/>
              </w:rPr>
              <w:t>TOTAL PRICE (IN EUROS)</w:t>
            </w:r>
          </w:p>
        </w:tc>
      </w:tr>
      <w:tr w:rsidR="002026B7" w:rsidRPr="006F38E6" w14:paraId="0364A5D7" w14:textId="77777777">
        <w:trPr>
          <w:trHeight w:val="445"/>
        </w:trPr>
        <w:tc>
          <w:tcPr>
            <w:tcW w:w="990" w:type="dxa"/>
            <w:tcBorders>
              <w:top w:val="nil"/>
              <w:left w:val="single" w:sz="4" w:space="0" w:color="auto"/>
              <w:bottom w:val="single" w:sz="4" w:space="0" w:color="auto"/>
              <w:right w:val="single" w:sz="4" w:space="0" w:color="auto"/>
            </w:tcBorders>
            <w:noWrap/>
            <w:vAlign w:val="center"/>
            <w:hideMark/>
          </w:tcPr>
          <w:p w14:paraId="13A03A3E" w14:textId="77777777" w:rsidR="002026B7" w:rsidRPr="006F38E6" w:rsidRDefault="002026B7">
            <w:pPr>
              <w:jc w:val="center"/>
              <w:rPr>
                <w:rFonts w:asciiTheme="minorHAnsi" w:eastAsia="SimSun" w:hAnsiTheme="minorHAnsi" w:cstheme="minorHAnsi"/>
                <w:szCs w:val="22"/>
                <w:lang w:eastAsia="zh-CN"/>
              </w:rPr>
            </w:pPr>
            <w:r>
              <w:rPr>
                <w:rFonts w:asciiTheme="minorHAnsi" w:eastAsia="SimSun" w:hAnsiTheme="minorHAnsi" w:cstheme="minorHAnsi"/>
                <w:szCs w:val="22"/>
                <w:lang w:eastAsia="zh-CN"/>
              </w:rPr>
              <w:lastRenderedPageBreak/>
              <w:t>1</w:t>
            </w:r>
          </w:p>
        </w:tc>
        <w:tc>
          <w:tcPr>
            <w:tcW w:w="2574" w:type="dxa"/>
            <w:tcBorders>
              <w:top w:val="nil"/>
              <w:left w:val="nil"/>
              <w:bottom w:val="single" w:sz="4" w:space="0" w:color="auto"/>
              <w:right w:val="single" w:sz="4" w:space="0" w:color="auto"/>
            </w:tcBorders>
            <w:noWrap/>
            <w:vAlign w:val="center"/>
            <w:hideMark/>
          </w:tcPr>
          <w:p w14:paraId="04E7262F" w14:textId="77777777" w:rsidR="002026B7" w:rsidRPr="006F38E6" w:rsidRDefault="002026B7">
            <w:pPr>
              <w:tabs>
                <w:tab w:val="left" w:pos="-720"/>
                <w:tab w:val="num" w:pos="360"/>
              </w:tabs>
              <w:suppressAutoHyphens/>
              <w:jc w:val="both"/>
              <w:rPr>
                <w:rFonts w:asciiTheme="minorHAnsi" w:hAnsiTheme="minorHAnsi" w:cstheme="minorHAnsi"/>
                <w:bCs/>
                <w:spacing w:val="-3"/>
                <w:szCs w:val="22"/>
              </w:rPr>
            </w:pPr>
            <w:r>
              <w:rPr>
                <w:rFonts w:asciiTheme="minorHAnsi" w:hAnsiTheme="minorHAnsi" w:cstheme="minorHAnsi"/>
                <w:bCs/>
                <w:spacing w:val="-3"/>
                <w:szCs w:val="22"/>
              </w:rPr>
              <w:t>Output power: _______</w:t>
            </w:r>
          </w:p>
          <w:p w14:paraId="32B07B64" w14:textId="77777777" w:rsidR="002026B7" w:rsidRPr="006F38E6" w:rsidRDefault="002026B7">
            <w:pPr>
              <w:tabs>
                <w:tab w:val="left" w:pos="-720"/>
                <w:tab w:val="num" w:pos="360"/>
              </w:tabs>
              <w:suppressAutoHyphens/>
              <w:jc w:val="center"/>
              <w:rPr>
                <w:rFonts w:asciiTheme="minorHAnsi" w:hAnsiTheme="minorHAnsi" w:cstheme="minorHAnsi"/>
                <w:bCs/>
                <w:spacing w:val="-3"/>
                <w:szCs w:val="22"/>
                <w:lang w:eastAsia="zh-CN"/>
              </w:rPr>
            </w:pPr>
            <w:r>
              <w:rPr>
                <w:rFonts w:asciiTheme="minorHAnsi" w:hAnsiTheme="minorHAnsi" w:cstheme="minorHAnsi"/>
                <w:bCs/>
                <w:spacing w:val="-3"/>
                <w:szCs w:val="22"/>
              </w:rPr>
              <w:t>Made in ________</w:t>
            </w:r>
          </w:p>
        </w:tc>
        <w:tc>
          <w:tcPr>
            <w:tcW w:w="1222" w:type="dxa"/>
            <w:tcBorders>
              <w:top w:val="nil"/>
              <w:left w:val="nil"/>
              <w:bottom w:val="single" w:sz="4" w:space="0" w:color="auto"/>
              <w:right w:val="single" w:sz="4" w:space="0" w:color="auto"/>
            </w:tcBorders>
            <w:noWrap/>
            <w:vAlign w:val="center"/>
            <w:hideMark/>
          </w:tcPr>
          <w:p w14:paraId="377A8C83" w14:textId="77777777" w:rsidR="002026B7" w:rsidRPr="006F38E6" w:rsidRDefault="002026B7">
            <w:pPr>
              <w:jc w:val="center"/>
              <w:rPr>
                <w:rFonts w:asciiTheme="minorHAnsi" w:eastAsia="SimSun" w:hAnsiTheme="minorHAnsi" w:cstheme="minorHAnsi"/>
                <w:szCs w:val="22"/>
                <w:lang w:eastAsia="zh-CN"/>
              </w:rPr>
            </w:pPr>
          </w:p>
        </w:tc>
        <w:tc>
          <w:tcPr>
            <w:tcW w:w="1418" w:type="dxa"/>
            <w:tcBorders>
              <w:top w:val="nil"/>
              <w:left w:val="nil"/>
              <w:bottom w:val="single" w:sz="4" w:space="0" w:color="auto"/>
              <w:right w:val="single" w:sz="4" w:space="0" w:color="auto"/>
            </w:tcBorders>
            <w:noWrap/>
            <w:vAlign w:val="center"/>
            <w:hideMark/>
          </w:tcPr>
          <w:p w14:paraId="736D479E" w14:textId="77777777" w:rsidR="002026B7" w:rsidRPr="006F38E6" w:rsidRDefault="002026B7">
            <w:pPr>
              <w:jc w:val="center"/>
              <w:rPr>
                <w:rFonts w:asciiTheme="minorHAnsi" w:eastAsia="SimSun" w:hAnsiTheme="minorHAnsi" w:cstheme="minorHAnsi"/>
                <w:szCs w:val="22"/>
                <w:lang w:eastAsia="zh-CN"/>
              </w:rPr>
            </w:pPr>
          </w:p>
        </w:tc>
        <w:tc>
          <w:tcPr>
            <w:tcW w:w="1417" w:type="dxa"/>
            <w:tcBorders>
              <w:top w:val="nil"/>
              <w:left w:val="nil"/>
              <w:bottom w:val="single" w:sz="4" w:space="0" w:color="auto"/>
              <w:right w:val="single" w:sz="4" w:space="0" w:color="auto"/>
            </w:tcBorders>
            <w:noWrap/>
            <w:vAlign w:val="center"/>
            <w:hideMark/>
          </w:tcPr>
          <w:p w14:paraId="426163EC" w14:textId="77777777" w:rsidR="002026B7" w:rsidRPr="006F38E6" w:rsidRDefault="002026B7">
            <w:pPr>
              <w:jc w:val="center"/>
              <w:rPr>
                <w:rFonts w:asciiTheme="minorHAnsi" w:eastAsia="SimSun" w:hAnsiTheme="minorHAnsi" w:cstheme="minorHAnsi"/>
                <w:szCs w:val="22"/>
                <w:lang w:eastAsia="zh-CN"/>
              </w:rPr>
            </w:pPr>
          </w:p>
        </w:tc>
        <w:tc>
          <w:tcPr>
            <w:tcW w:w="3124" w:type="dxa"/>
            <w:tcBorders>
              <w:top w:val="nil"/>
              <w:left w:val="nil"/>
              <w:bottom w:val="single" w:sz="4" w:space="0" w:color="auto"/>
              <w:right w:val="single" w:sz="4" w:space="0" w:color="auto"/>
            </w:tcBorders>
            <w:noWrap/>
            <w:vAlign w:val="center"/>
            <w:hideMark/>
          </w:tcPr>
          <w:p w14:paraId="2D432163" w14:textId="77777777" w:rsidR="002026B7" w:rsidRPr="006F38E6" w:rsidRDefault="002026B7">
            <w:pPr>
              <w:jc w:val="center"/>
              <w:rPr>
                <w:rFonts w:asciiTheme="minorHAnsi" w:eastAsia="SimSun" w:hAnsiTheme="minorHAnsi" w:cstheme="minorHAnsi"/>
                <w:szCs w:val="22"/>
                <w:lang w:eastAsia="zh-CN"/>
              </w:rPr>
            </w:pPr>
            <w:r>
              <w:rPr>
                <w:rFonts w:asciiTheme="minorHAnsi" w:eastAsia="SimSun" w:hAnsiTheme="minorHAnsi" w:cstheme="minorHAnsi"/>
                <w:szCs w:val="22"/>
                <w:lang w:eastAsia="zh-CN"/>
              </w:rPr>
              <w:t>[In numbers &amp; in letters]</w:t>
            </w:r>
          </w:p>
        </w:tc>
      </w:tr>
      <w:tr w:rsidR="002026B7" w:rsidRPr="006F38E6" w14:paraId="2E07C6C8" w14:textId="77777777">
        <w:trPr>
          <w:trHeight w:val="445"/>
        </w:trPr>
        <w:tc>
          <w:tcPr>
            <w:tcW w:w="3564" w:type="dxa"/>
            <w:gridSpan w:val="2"/>
            <w:tcBorders>
              <w:top w:val="single" w:sz="4" w:space="0" w:color="auto"/>
              <w:left w:val="single" w:sz="4" w:space="0" w:color="auto"/>
              <w:bottom w:val="single" w:sz="4" w:space="0" w:color="auto"/>
              <w:right w:val="single" w:sz="4" w:space="0" w:color="000000"/>
            </w:tcBorders>
            <w:noWrap/>
            <w:vAlign w:val="center"/>
            <w:hideMark/>
          </w:tcPr>
          <w:p w14:paraId="473AD889" w14:textId="77777777" w:rsidR="002026B7" w:rsidRPr="006F38E6" w:rsidRDefault="002026B7">
            <w:pPr>
              <w:jc w:val="center"/>
              <w:rPr>
                <w:rFonts w:asciiTheme="minorHAnsi" w:eastAsia="SimSun" w:hAnsiTheme="minorHAnsi" w:cstheme="minorHAnsi"/>
                <w:b/>
                <w:bCs/>
                <w:szCs w:val="22"/>
                <w:lang w:eastAsia="zh-CN"/>
              </w:rPr>
            </w:pPr>
            <w:r>
              <w:rPr>
                <w:rFonts w:asciiTheme="minorHAnsi" w:eastAsia="SimSun" w:hAnsiTheme="minorHAnsi" w:cstheme="minorHAnsi"/>
                <w:b/>
                <w:bCs/>
                <w:szCs w:val="22"/>
                <w:lang w:eastAsia="zh-CN"/>
              </w:rPr>
              <w:t>TOTAL</w:t>
            </w:r>
          </w:p>
        </w:tc>
        <w:tc>
          <w:tcPr>
            <w:tcW w:w="1222" w:type="dxa"/>
            <w:tcBorders>
              <w:top w:val="nil"/>
              <w:left w:val="nil"/>
              <w:bottom w:val="single" w:sz="4" w:space="0" w:color="auto"/>
              <w:right w:val="single" w:sz="4" w:space="0" w:color="auto"/>
            </w:tcBorders>
            <w:noWrap/>
            <w:vAlign w:val="center"/>
            <w:hideMark/>
          </w:tcPr>
          <w:p w14:paraId="3791D8C9" w14:textId="77777777" w:rsidR="002026B7" w:rsidRPr="006F38E6" w:rsidRDefault="002026B7">
            <w:pPr>
              <w:jc w:val="center"/>
              <w:rPr>
                <w:rFonts w:asciiTheme="minorHAnsi" w:eastAsia="SimSun" w:hAnsiTheme="minorHAnsi" w:cstheme="minorHAnsi"/>
                <w:szCs w:val="22"/>
                <w:lang w:eastAsia="zh-CN"/>
              </w:rPr>
            </w:pPr>
          </w:p>
        </w:tc>
        <w:tc>
          <w:tcPr>
            <w:tcW w:w="1418" w:type="dxa"/>
            <w:tcBorders>
              <w:top w:val="nil"/>
              <w:left w:val="nil"/>
              <w:bottom w:val="single" w:sz="4" w:space="0" w:color="auto"/>
              <w:right w:val="single" w:sz="4" w:space="0" w:color="auto"/>
            </w:tcBorders>
            <w:noWrap/>
            <w:vAlign w:val="center"/>
            <w:hideMark/>
          </w:tcPr>
          <w:p w14:paraId="713668C3" w14:textId="77777777" w:rsidR="002026B7" w:rsidRPr="006F38E6" w:rsidRDefault="002026B7">
            <w:pPr>
              <w:jc w:val="center"/>
              <w:rPr>
                <w:rFonts w:asciiTheme="minorHAnsi" w:eastAsia="SimSun" w:hAnsiTheme="minorHAnsi" w:cstheme="minorHAnsi"/>
                <w:szCs w:val="22"/>
                <w:lang w:eastAsia="zh-CN"/>
              </w:rPr>
            </w:pPr>
          </w:p>
        </w:tc>
        <w:tc>
          <w:tcPr>
            <w:tcW w:w="1417" w:type="dxa"/>
            <w:tcBorders>
              <w:top w:val="nil"/>
              <w:left w:val="nil"/>
              <w:bottom w:val="single" w:sz="4" w:space="0" w:color="auto"/>
              <w:right w:val="single" w:sz="4" w:space="0" w:color="auto"/>
            </w:tcBorders>
            <w:noWrap/>
            <w:vAlign w:val="center"/>
            <w:hideMark/>
          </w:tcPr>
          <w:p w14:paraId="4F5E078F" w14:textId="77777777" w:rsidR="002026B7" w:rsidRPr="006F38E6" w:rsidRDefault="002026B7">
            <w:pPr>
              <w:jc w:val="center"/>
              <w:rPr>
                <w:rFonts w:asciiTheme="minorHAnsi" w:eastAsia="SimSun" w:hAnsiTheme="minorHAnsi" w:cstheme="minorHAnsi"/>
                <w:szCs w:val="22"/>
                <w:lang w:eastAsia="zh-CN"/>
              </w:rPr>
            </w:pPr>
          </w:p>
        </w:tc>
        <w:tc>
          <w:tcPr>
            <w:tcW w:w="3124" w:type="dxa"/>
            <w:tcBorders>
              <w:top w:val="nil"/>
              <w:left w:val="nil"/>
              <w:bottom w:val="single" w:sz="4" w:space="0" w:color="auto"/>
              <w:right w:val="single" w:sz="4" w:space="0" w:color="auto"/>
            </w:tcBorders>
            <w:noWrap/>
            <w:vAlign w:val="center"/>
            <w:hideMark/>
          </w:tcPr>
          <w:p w14:paraId="6554E96A" w14:textId="77777777" w:rsidR="002026B7" w:rsidRPr="006F38E6" w:rsidRDefault="002026B7">
            <w:pPr>
              <w:jc w:val="center"/>
              <w:rPr>
                <w:rFonts w:asciiTheme="minorHAnsi" w:eastAsia="SimSun" w:hAnsiTheme="minorHAnsi" w:cstheme="minorHAnsi"/>
                <w:szCs w:val="22"/>
                <w:lang w:eastAsia="zh-CN"/>
              </w:rPr>
            </w:pPr>
            <w:r>
              <w:rPr>
                <w:rFonts w:asciiTheme="minorHAnsi" w:eastAsia="SimSun" w:hAnsiTheme="minorHAnsi" w:cstheme="minorHAnsi"/>
                <w:szCs w:val="22"/>
                <w:lang w:eastAsia="zh-CN"/>
              </w:rPr>
              <w:t>[In numbers &amp; in letters]</w:t>
            </w:r>
          </w:p>
          <w:p w14:paraId="058B7A01" w14:textId="77777777" w:rsidR="002026B7" w:rsidRPr="006F38E6" w:rsidRDefault="002026B7">
            <w:pPr>
              <w:jc w:val="center"/>
              <w:rPr>
                <w:rFonts w:asciiTheme="minorHAnsi" w:eastAsia="SimSun" w:hAnsiTheme="minorHAnsi" w:cstheme="minorHAnsi"/>
                <w:szCs w:val="22"/>
                <w:lang w:eastAsia="zh-CN"/>
              </w:rPr>
            </w:pPr>
            <w:r>
              <w:rPr>
                <w:rFonts w:asciiTheme="minorHAnsi" w:eastAsia="SimSun" w:hAnsiTheme="minorHAnsi" w:cstheme="minorHAnsi"/>
                <w:szCs w:val="22"/>
                <w:lang w:eastAsia="zh-CN"/>
              </w:rPr>
              <w:t>(“</w:t>
            </w:r>
            <w:r>
              <w:rPr>
                <w:rFonts w:asciiTheme="minorHAnsi" w:eastAsia="SimSun" w:hAnsiTheme="minorHAnsi" w:cstheme="minorHAnsi"/>
                <w:b/>
                <w:bCs/>
                <w:szCs w:val="22"/>
                <w:lang w:eastAsia="zh-CN"/>
              </w:rPr>
              <w:t>Contract Price</w:t>
            </w:r>
            <w:r>
              <w:rPr>
                <w:rFonts w:asciiTheme="minorHAnsi" w:eastAsia="SimSun" w:hAnsiTheme="minorHAnsi" w:cstheme="minorHAnsi"/>
                <w:szCs w:val="22"/>
                <w:lang w:eastAsia="zh-CN"/>
              </w:rPr>
              <w:t>”)</w:t>
            </w:r>
          </w:p>
          <w:p w14:paraId="52D41A74" w14:textId="77777777" w:rsidR="000066D1" w:rsidRDefault="000066D1">
            <w:pPr>
              <w:ind w:left="720"/>
              <w:jc w:val="both"/>
              <w:rPr>
                <w:rFonts w:asciiTheme="minorHAnsi" w:hAnsiTheme="minorHAnsi" w:cstheme="minorHAnsi"/>
                <w:szCs w:val="22"/>
              </w:rPr>
            </w:pPr>
          </w:p>
        </w:tc>
      </w:tr>
    </w:tbl>
    <w:p w14:paraId="7B61BD0C" w14:textId="77777777" w:rsidR="009E333E" w:rsidRDefault="009E333E">
      <w:pPr>
        <w:jc w:val="both"/>
        <w:rPr>
          <w:rFonts w:asciiTheme="minorHAnsi" w:hAnsiTheme="minorHAnsi" w:cstheme="minorHAnsi"/>
          <w:szCs w:val="22"/>
        </w:rPr>
      </w:pPr>
    </w:p>
    <w:p w14:paraId="6F9E5FC1" w14:textId="07AE911E"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The Contract Price is expressed in </w:t>
      </w:r>
      <w:r>
        <w:rPr>
          <w:rFonts w:asciiTheme="minorHAnsi" w:hAnsiTheme="minorHAnsi" w:cstheme="minorHAnsi"/>
          <w:szCs w:val="22"/>
          <w:highlight w:val="yellow"/>
        </w:rPr>
        <w:t>[EUR]</w:t>
      </w:r>
      <w:r>
        <w:rPr>
          <w:rFonts w:asciiTheme="minorHAnsi" w:hAnsiTheme="minorHAnsi" w:cstheme="minorHAnsi"/>
          <w:szCs w:val="22"/>
        </w:rPr>
        <w:t xml:space="preserve"> and is based on the guaranteed Useable Capacity in MWh at the point of measurement defined in Clause 6.9. A shortfall in Useable Capacity measured at Site Acceptance or thereafter is dealt with under Clauses 6.2.5 and 7.2 and </w:t>
      </w:r>
      <w:r>
        <w:rPr>
          <w:rFonts w:asciiTheme="minorHAnsi" w:hAnsiTheme="minorHAnsi" w:cstheme="minorHAnsi"/>
          <w:szCs w:val="22"/>
          <w:highlight w:val="cyan"/>
        </w:rPr>
        <w:t>APPENDIX G</w:t>
      </w:r>
      <w:r>
        <w:rPr>
          <w:rFonts w:asciiTheme="minorHAnsi" w:hAnsiTheme="minorHAnsi" w:cstheme="minorHAnsi"/>
          <w:szCs w:val="22"/>
        </w:rPr>
        <w:t>. A permanent pro rata reduction of the Contract Price applies only where the Buyer expressly elects in writing to accept a permanent reduction of the guaranteed Useable Capacity; the election shall state the revised guaranteed capacity and degradation curve, the price credit and the effect on future remedies. The Buyer shall not recover both a price reduction and liquidated damages for the same permanent capacity shortfall.</w:t>
      </w:r>
    </w:p>
    <w:p w14:paraId="29CC6C9F"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i/>
          <w:iCs/>
          <w:color w:val="1F4E79"/>
          <w:szCs w:val="22"/>
          <w:highlight w:val="green"/>
        </w:rPr>
        <w:t>Note for ESCA readers: currency to be updated as per your preference.</w:t>
      </w:r>
    </w:p>
    <w:p w14:paraId="226FCCD5" w14:textId="77777777" w:rsidR="009E333E" w:rsidRDefault="00000000">
      <w:pPr>
        <w:pStyle w:val="Heading2"/>
        <w:spacing w:before="200" w:after="80"/>
        <w:ind w:left="360"/>
        <w:rPr>
          <w:rFonts w:asciiTheme="minorHAnsi" w:hAnsiTheme="minorHAnsi" w:cstheme="minorHAnsi"/>
          <w:szCs w:val="22"/>
        </w:rPr>
      </w:pPr>
      <w:r>
        <w:rPr>
          <w:rFonts w:asciiTheme="minorHAnsi" w:hAnsiTheme="minorHAnsi" w:cstheme="minorHAnsi"/>
          <w:szCs w:val="22"/>
        </w:rPr>
        <w:t>4.2 Specification, BOM and Critical Component List</w:t>
      </w:r>
    </w:p>
    <w:p w14:paraId="3611BC47"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4.2.1 The BESS shall be manufactured strictly in accordance with the Specification, on a compliant production line and in compliance with </w:t>
      </w:r>
      <w:r>
        <w:rPr>
          <w:rFonts w:asciiTheme="minorHAnsi" w:hAnsiTheme="minorHAnsi" w:cstheme="minorHAnsi"/>
          <w:szCs w:val="22"/>
          <w:highlight w:val="cyan"/>
        </w:rPr>
        <w:t>APPENDIX F</w:t>
      </w:r>
      <w:r>
        <w:rPr>
          <w:rFonts w:asciiTheme="minorHAnsi" w:hAnsiTheme="minorHAnsi" w:cstheme="minorHAnsi"/>
          <w:szCs w:val="22"/>
        </w:rPr>
        <w:t xml:space="preserve"> (Factory Acceptance Testing) and </w:t>
      </w:r>
      <w:r>
        <w:rPr>
          <w:rFonts w:asciiTheme="minorHAnsi" w:hAnsiTheme="minorHAnsi" w:cstheme="minorHAnsi"/>
          <w:szCs w:val="22"/>
          <w:highlight w:val="cyan"/>
        </w:rPr>
        <w:t>APPENDIX H</w:t>
      </w:r>
      <w:r>
        <w:rPr>
          <w:rFonts w:asciiTheme="minorHAnsi" w:hAnsiTheme="minorHAnsi" w:cstheme="minorHAnsi"/>
          <w:szCs w:val="22"/>
        </w:rPr>
        <w:t xml:space="preserve"> (BESS Quality Standards), which form an integral part of this Agreement.</w:t>
      </w:r>
    </w:p>
    <w:p w14:paraId="6170D2C6" w14:textId="4F01CE84"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4.2.2 The Seller shall deliver the BOM to the Buyer and the Selected Third-Party before the Notice to Proceed to Manufacture. The BOM records every part used to build the BESS; the Critical Component List (</w:t>
      </w:r>
      <w:r>
        <w:rPr>
          <w:rFonts w:asciiTheme="minorHAnsi" w:hAnsiTheme="minorHAnsi" w:cstheme="minorHAnsi"/>
          <w:szCs w:val="22"/>
          <w:highlight w:val="cyan"/>
        </w:rPr>
        <w:t>APPENDIX R</w:t>
      </w:r>
      <w:r>
        <w:rPr>
          <w:rFonts w:asciiTheme="minorHAnsi" w:hAnsiTheme="minorHAnsi" w:cstheme="minorHAnsi"/>
          <w:szCs w:val="22"/>
        </w:rPr>
        <w:t xml:space="preserve">) is the contractual extract of the BOM covering the Key Components and every component </w:t>
      </w:r>
      <w:r>
        <w:rPr>
          <w:rFonts w:asciiTheme="minorHAnsi" w:hAnsiTheme="minorHAnsi" w:cstheme="minorHAnsi"/>
          <w:szCs w:val="22"/>
        </w:rPr>
        <w:t>identified as critical in the certification and test reports relied on to demonstrate conformity of the BESS (such as UL 9540 certification, UL 9540A test reports, IEC 62619 and IEC 62933-5-2)</w:t>
      </w:r>
      <w:r>
        <w:rPr>
          <w:rFonts w:asciiTheme="minorHAnsi" w:hAnsiTheme="minorHAnsi" w:cstheme="minorHAnsi"/>
          <w:szCs w:val="22"/>
        </w:rPr>
        <w:t>, including the cells, the BMS and its voltage and temperature sensing, the gas, smoke and heat detection, the fire suppression system and its agent, the contactors, fuses and breakers, the thermal management unit and its refrigerant and coolant, and the enclosure. The BOM and the Critical Component List shall be consistent with one another and with the Specification; where they conflict, the Critical Component List prevails.</w:t>
      </w:r>
    </w:p>
    <w:p w14:paraId="4052CDBF" w14:textId="135C74A6"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4.2.3 </w:t>
      </w:r>
      <w:r>
        <w:rPr>
          <w:rFonts w:asciiTheme="minorHAnsi" w:hAnsiTheme="minorHAnsi" w:cstheme="minorHAnsi"/>
          <w:szCs w:val="22"/>
          <w:highlight w:val="cyan"/>
        </w:rPr>
        <w:t>APPENDIX R</w:t>
      </w:r>
      <w:r>
        <w:rPr>
          <w:rFonts w:asciiTheme="minorHAnsi" w:hAnsiTheme="minorHAnsi" w:cstheme="minorHAnsi"/>
          <w:szCs w:val="22"/>
        </w:rPr>
        <w:t xml:space="preserve"> identifies, for each Key Component and each component identified as critical in the product certifications, the manufacturer, manufacturing site address, model or part number, hardware revision and firmware or software version (the “Critical Component List”). </w:t>
      </w:r>
      <w:r>
        <w:rPr>
          <w:rFonts w:asciiTheme="minorHAnsi" w:hAnsiTheme="minorHAnsi" w:cstheme="minorHAnsi"/>
          <w:szCs w:val="22"/>
        </w:rPr>
        <w:t xml:space="preserve">The Critical Component List includes all Key Components, every component named in or relied on for any safety, grid-code or type certification of the BESS, and any additional component expressly designated as critical in </w:t>
      </w:r>
      <w:r>
        <w:rPr>
          <w:rFonts w:asciiTheme="minorHAnsi" w:hAnsiTheme="minorHAnsi" w:cstheme="minorHAnsi"/>
          <w:szCs w:val="22"/>
          <w:highlight w:val="cyan"/>
        </w:rPr>
        <w:t>APPENDIX R</w:t>
      </w:r>
      <w:r>
        <w:rPr>
          <w:rFonts w:asciiTheme="minorHAnsi" w:hAnsiTheme="minorHAnsi" w:cstheme="minorHAnsi"/>
          <w:szCs w:val="22"/>
        </w:rPr>
        <w:t>. Other components remain controlled through the BOM and Clause 4.4. A qualification such as “or equivalent” or “indicative” in the Seller’s proposal, datasheets or clarification responses does not authorise substitution.</w:t>
      </w:r>
      <w:r>
        <w:rPr>
          <w:rFonts w:asciiTheme="minorHAnsi" w:hAnsiTheme="minorHAnsi" w:cstheme="minorHAnsi"/>
          <w:szCs w:val="22"/>
        </w:rPr>
        <w:t xml:space="preserve"> The BESS shall be manufactured exclusively with the components, revisions, firmware versions and manufacturing locations listed in </w:t>
      </w:r>
      <w:r>
        <w:rPr>
          <w:rFonts w:asciiTheme="minorHAnsi" w:hAnsiTheme="minorHAnsi" w:cstheme="minorHAnsi"/>
          <w:szCs w:val="22"/>
          <w:highlight w:val="cyan"/>
        </w:rPr>
        <w:t>APPENDIX R</w:t>
      </w:r>
      <w:r>
        <w:rPr>
          <w:rFonts w:asciiTheme="minorHAnsi" w:hAnsiTheme="minorHAnsi" w:cstheme="minorHAnsi"/>
          <w:szCs w:val="22"/>
        </w:rPr>
        <w:t>.</w:t>
      </w:r>
    </w:p>
    <w:p w14:paraId="43ABEDBB"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4.2.4 If any material or component used by the Seller differs from the BOM or the Critical Component List, the Buyer may (i) reject the affected BESS in accordance with Clauses 5.1 and 6.1, or (ii) require the Seller to replace the affected batch with a compliant batch at the Seller’s cost and without extension of the Delivery Schedule. The Selected Third-Party verifies at FAT that the serial numbers and configuration of each unit match the BOM and the Critical Component List.</w:t>
      </w:r>
    </w:p>
    <w:p w14:paraId="35CBF481" w14:textId="77777777" w:rsidR="009E333E" w:rsidRDefault="00000000">
      <w:pPr>
        <w:pStyle w:val="Heading2"/>
        <w:spacing w:before="200" w:after="80"/>
        <w:ind w:left="360"/>
        <w:rPr>
          <w:rFonts w:asciiTheme="minorHAnsi" w:hAnsiTheme="minorHAnsi" w:cstheme="minorHAnsi"/>
          <w:szCs w:val="22"/>
        </w:rPr>
      </w:pPr>
      <w:r>
        <w:rPr>
          <w:rFonts w:asciiTheme="minorHAnsi" w:hAnsiTheme="minorHAnsi" w:cstheme="minorHAnsi"/>
          <w:szCs w:val="22"/>
        </w:rPr>
        <w:lastRenderedPageBreak/>
        <w:t>4.3 Designated Battery Cell</w:t>
      </w:r>
    </w:p>
    <w:p w14:paraId="6C6FBCF9"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The BESS shall be built exclusively with the battery cell manufacturer, cell model, cell chemistry, cell revision and cell production site identified in </w:t>
      </w:r>
      <w:r>
        <w:rPr>
          <w:rFonts w:asciiTheme="minorHAnsi" w:hAnsiTheme="minorHAnsi" w:cstheme="minorHAnsi"/>
          <w:szCs w:val="22"/>
          <w:highlight w:val="cyan"/>
        </w:rPr>
        <w:t>APPENDIX E</w:t>
      </w:r>
      <w:r>
        <w:rPr>
          <w:rFonts w:asciiTheme="minorHAnsi" w:hAnsiTheme="minorHAnsi" w:cstheme="minorHAnsi"/>
          <w:szCs w:val="22"/>
        </w:rPr>
        <w:t xml:space="preserve"> (the “Designated Cell”). The rated capacity, nominal voltage, internal resistance, maximum continuous C-rate, cycle-life curve and calendar-ageing curve of the Designated Cell stated in </w:t>
      </w:r>
      <w:r>
        <w:rPr>
          <w:rFonts w:asciiTheme="minorHAnsi" w:hAnsiTheme="minorHAnsi" w:cstheme="minorHAnsi"/>
          <w:szCs w:val="22"/>
          <w:highlight w:val="cyan"/>
        </w:rPr>
        <w:t>APPENDIX E</w:t>
      </w:r>
      <w:r>
        <w:rPr>
          <w:rFonts w:asciiTheme="minorHAnsi" w:hAnsiTheme="minorHAnsi" w:cstheme="minorHAnsi"/>
          <w:szCs w:val="22"/>
        </w:rPr>
        <w:t xml:space="preserve"> form part of the Specification and are warranted values. Any substitution of the Designated Cell, including a change of production site or cell revision, is a Class A Change under Clause 4.4 and requires the Buyer’s prior written approval. Any unit containing cells other than the Designated Cell is a Defect and may be rejected at the Seller’s cost.</w:t>
      </w:r>
    </w:p>
    <w:p w14:paraId="15B17A92" w14:textId="77777777" w:rsidR="009E333E" w:rsidRDefault="00000000">
      <w:pPr>
        <w:pStyle w:val="Heading2"/>
        <w:spacing w:before="200" w:after="80"/>
        <w:ind w:left="360"/>
        <w:rPr>
          <w:rFonts w:asciiTheme="minorHAnsi" w:hAnsiTheme="minorHAnsi" w:cstheme="minorHAnsi"/>
          <w:szCs w:val="22"/>
        </w:rPr>
      </w:pPr>
      <w:r>
        <w:rPr>
          <w:rFonts w:asciiTheme="minorHAnsi" w:hAnsiTheme="minorHAnsi" w:cstheme="minorHAnsi"/>
          <w:szCs w:val="22"/>
        </w:rPr>
        <w:t>4.4 Changes, Deviations and Change Control</w:t>
      </w:r>
    </w:p>
    <w:p w14:paraId="54B7EBE9" w14:textId="0DC71ADB"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4.4.1 “Standard” means the approved design, BOM, Critical Component List, firmware and software versions, drawings, test methods and </w:t>
      </w:r>
      <w:r>
        <w:rPr>
          <w:rFonts w:asciiTheme="minorHAnsi" w:hAnsiTheme="minorHAnsi" w:cstheme="minorHAnsi"/>
          <w:szCs w:val="22"/>
        </w:rPr>
        <w:t>certified configuration of the BESS as approved for manufacture under Clauses 4.2, 4.9 and 16, as subsequently amended only in accordance with this Agreement.</w:t>
      </w:r>
      <w:r>
        <w:rPr>
          <w:rFonts w:asciiTheme="minorHAnsi" w:hAnsiTheme="minorHAnsi" w:cstheme="minorHAnsi"/>
          <w:szCs w:val="22"/>
        </w:rPr>
        <w:t xml:space="preserve"> “Change” means any permanent modification to form, fit, function, process, BOM, manufacturing site, firmware, software or test method. “Deviation” means a temporary or lot-specific departure from the Standard limited to a stated serial range and period. No Change or Deviation shall be made by the Seller except in accordance with this Clause. The supplied, shipped and delivered BESS shall match </w:t>
      </w:r>
      <w:r>
        <w:rPr>
          <w:rFonts w:asciiTheme="minorHAnsi" w:hAnsiTheme="minorHAnsi" w:cstheme="minorHAnsi"/>
          <w:szCs w:val="22"/>
          <w:highlight w:val="cyan"/>
        </w:rPr>
        <w:t>APPENDIX A</w:t>
      </w:r>
      <w:r>
        <w:rPr>
          <w:rFonts w:asciiTheme="minorHAnsi" w:hAnsiTheme="minorHAnsi" w:cstheme="minorHAnsi"/>
          <w:szCs w:val="22"/>
        </w:rPr>
        <w:t xml:space="preserve"> (Purchase Order), </w:t>
      </w:r>
      <w:r>
        <w:rPr>
          <w:rFonts w:asciiTheme="minorHAnsi" w:hAnsiTheme="minorHAnsi" w:cstheme="minorHAnsi"/>
          <w:szCs w:val="22"/>
          <w:highlight w:val="cyan"/>
        </w:rPr>
        <w:t>APPENDIX B</w:t>
      </w:r>
      <w:r>
        <w:rPr>
          <w:rFonts w:asciiTheme="minorHAnsi" w:hAnsiTheme="minorHAnsi" w:cstheme="minorHAnsi"/>
          <w:szCs w:val="22"/>
        </w:rPr>
        <w:t xml:space="preserve"> (BESS Technical Specifications), </w:t>
      </w:r>
      <w:r>
        <w:rPr>
          <w:rFonts w:asciiTheme="minorHAnsi" w:hAnsiTheme="minorHAnsi" w:cstheme="minorHAnsi"/>
          <w:szCs w:val="22"/>
          <w:highlight w:val="cyan"/>
        </w:rPr>
        <w:t>APPENDIX C</w:t>
      </w:r>
      <w:r>
        <w:rPr>
          <w:rFonts w:asciiTheme="minorHAnsi" w:hAnsiTheme="minorHAnsi" w:cstheme="minorHAnsi"/>
          <w:szCs w:val="22"/>
        </w:rPr>
        <w:t xml:space="preserve"> (Battery Rack Technical Specifications), </w:t>
      </w:r>
      <w:r>
        <w:rPr>
          <w:rFonts w:asciiTheme="minorHAnsi" w:hAnsiTheme="minorHAnsi" w:cstheme="minorHAnsi"/>
          <w:szCs w:val="22"/>
          <w:highlight w:val="cyan"/>
        </w:rPr>
        <w:t>APPENDIX D</w:t>
      </w:r>
      <w:r>
        <w:rPr>
          <w:rFonts w:asciiTheme="minorHAnsi" w:hAnsiTheme="minorHAnsi" w:cstheme="minorHAnsi"/>
          <w:szCs w:val="22"/>
        </w:rPr>
        <w:t xml:space="preserve"> (Battery Pack Technical Specifications) and </w:t>
      </w:r>
      <w:r>
        <w:rPr>
          <w:rFonts w:asciiTheme="minorHAnsi" w:hAnsiTheme="minorHAnsi" w:cstheme="minorHAnsi"/>
          <w:szCs w:val="22"/>
          <w:highlight w:val="cyan"/>
        </w:rPr>
        <w:t>APPENDIX E</w:t>
      </w:r>
      <w:r>
        <w:rPr>
          <w:rFonts w:asciiTheme="minorHAnsi" w:hAnsiTheme="minorHAnsi" w:cstheme="minorHAnsi"/>
          <w:szCs w:val="22"/>
        </w:rPr>
        <w:t xml:space="preserve"> (Battery Cell Technical Specifications). </w:t>
      </w:r>
      <w:r>
        <w:rPr>
          <w:rFonts w:asciiTheme="minorHAnsi" w:hAnsiTheme="minorHAnsi" w:cstheme="minorHAnsi"/>
          <w:szCs w:val="22"/>
        </w:rPr>
        <w:t>The Seller bears the cost of Seller-initiated Changes and Deviations and of any change required to correct a non-compliance. The price and time consequences of Variations requested by the Buyer and of qualifying changes in law are determined under Clauses 4.11 and 4.12.2.</w:t>
      </w:r>
    </w:p>
    <w:p w14:paraId="2EE21E51"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4.4.2 Changes are classified in three classes according to their potential effect: Class A, affecting safety, regulatory compliance, certification or listing, ratings, interfaces, enclosure or IP rating, fire system, cell supplier, model or chemistry, refrigerant, PCS topology or protection settings; Class B, affecting efficiency, capacity, thermal behaviour, SOC or SOH estimation, communication protocols, EMC, serviceability or maintainability; Class C, like-for-like changes with no effect on any specified value.</w:t>
      </w:r>
    </w:p>
    <w:p w14:paraId="33B1C6A5"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4.4.3 The Seller shall submit a Change or Deviation package to the Buyer and the Selected Third-Party at least thirty (30) calendar days before the intended implementation, containing as a minimum a before-and-after description, the affected serial range and implementation date, updated DFMEA and PFMEA, a risk assessment, a verification evidence matrix, a certification impact statement, the marking and traceability method, the impact on retrofit and spare parts, the schedule and cost impact and a rollback plan.</w:t>
      </w:r>
    </w:p>
    <w:p w14:paraId="461E6AC7"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4.4.4 No Class A or Class B Change, and no Deviation of any class, shall be implemented without the Buyer’s prior written approval. A Class C Change may be implemented if the Buyer has not objected within ten (10) Business Days of receipt of a complete package with a conformity statement.</w:t>
      </w:r>
      <w:r>
        <w:rPr>
          <w:rFonts w:asciiTheme="minorHAnsi" w:hAnsiTheme="minorHAnsi" w:cstheme="minorHAnsi"/>
          <w:szCs w:val="22"/>
        </w:rPr>
        <w:t xml:space="preserve"> Approval or deemed approval under this Clause authorises only the technical Change or Deviation described in the package; any change to price, time or other terms of this Agreement requires a signed Variation under Clause 4.11.</w:t>
      </w:r>
    </w:p>
    <w:p w14:paraId="17F32F09"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4.4.5 Where a supply disruption requires an emergency Deviation, the Seller may propose it once, for a minimum period of eight (8) weeks and a defined serial range; production of affected units shall be held until the Buyer’s written approval.</w:t>
      </w:r>
    </w:p>
    <w:p w14:paraId="67601E78"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lastRenderedPageBreak/>
        <w:t>4.4.6 Each approved Change or Deviation shall demonstrate that safety, compliance and listings are unaffected or improved, that form, fit and interfaces to the plant are unchanged, that capacity, round-trip efficiency, power, response times and thermal margins are no worse than the Standard, that predicted failure rates do not increase, that spare parts compatibility is preserved and that the cybersecurity baseline is preserved. Any re-certification or re-listing required by a Change shall be completed by the Seller at its own cost without extension of the Delivery Schedule. The BOM and the Critical Component List shall be updated and re-issued for every approved Change.</w:t>
      </w:r>
    </w:p>
    <w:p w14:paraId="6D7DD641"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4.4.7 Affected units shall be physically marked, the as-built records shall carry the change code and the battery passport data shall be updated. Any Change or Deviation implemented in breach of this Clause entitles the Buyer to reject the affected units.</w:t>
      </w:r>
    </w:p>
    <w:p w14:paraId="0F9174B3" w14:textId="77777777" w:rsidR="009E333E" w:rsidRDefault="00000000">
      <w:pPr>
        <w:pStyle w:val="Heading2"/>
        <w:spacing w:before="200" w:after="80"/>
        <w:ind w:left="360"/>
        <w:rPr>
          <w:rFonts w:asciiTheme="minorHAnsi" w:hAnsiTheme="minorHAnsi" w:cstheme="minorHAnsi"/>
          <w:szCs w:val="22"/>
        </w:rPr>
      </w:pPr>
      <w:r>
        <w:rPr>
          <w:rFonts w:asciiTheme="minorHAnsi" w:hAnsiTheme="minorHAnsi" w:cstheme="minorHAnsi"/>
          <w:szCs w:val="22"/>
        </w:rPr>
        <w:t>4.5 Traceability Requirements</w:t>
      </w:r>
    </w:p>
    <w:p w14:paraId="5A36BEE2"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4.5.1 The Seller shall provide traceable data to certify the origin of the battery cell and other components of the BESS. Each BESS being manufactured shall be traceable through supporting documentation, in corresponding quantities, for the components, authorised regions and evidence listed in </w:t>
      </w:r>
      <w:r>
        <w:rPr>
          <w:rFonts w:asciiTheme="minorHAnsi" w:hAnsiTheme="minorHAnsi" w:cstheme="minorHAnsi"/>
          <w:szCs w:val="22"/>
          <w:highlight w:val="cyan"/>
        </w:rPr>
        <w:t>APPENDIX H</w:t>
      </w:r>
      <w:r>
        <w:rPr>
          <w:rFonts w:asciiTheme="minorHAnsi" w:hAnsiTheme="minorHAnsi" w:cstheme="minorHAnsi"/>
          <w:szCs w:val="22"/>
        </w:rPr>
        <w:t xml:space="preserve"> (BESS Quality Standards).</w:t>
      </w:r>
    </w:p>
    <w:p w14:paraId="0145C55D"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i/>
          <w:iCs/>
          <w:color w:val="1F4E79"/>
          <w:szCs w:val="22"/>
          <w:highlight w:val="green"/>
        </w:rPr>
        <w:t>Note for ESCA readers: traceability requirements are heavily country and lenders’ specific. Please make sure this is relevant to include this section (or not) for your project; the component table and the list of authorised regions are in APPENDIX H.</w:t>
      </w:r>
    </w:p>
    <w:p w14:paraId="6CB12B6B"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4.5.2 The Seller shall deliver the traceability evidence listed in </w:t>
      </w:r>
      <w:r>
        <w:rPr>
          <w:rFonts w:asciiTheme="minorHAnsi" w:hAnsiTheme="minorHAnsi" w:cstheme="minorHAnsi"/>
          <w:szCs w:val="22"/>
          <w:highlight w:val="cyan"/>
        </w:rPr>
        <w:t>APPENDIX H</w:t>
      </w:r>
      <w:r>
        <w:rPr>
          <w:rFonts w:asciiTheme="minorHAnsi" w:hAnsiTheme="minorHAnsi" w:cstheme="minorHAnsi"/>
          <w:szCs w:val="22"/>
        </w:rPr>
        <w:t xml:space="preserve"> for each component within fourteen (14) calendar days of the start of manufacture of the batch, together with the cell manufacturer’s name, cell model, production site and cell batch numbers for every module. If complete evidence is not delivered within that period, the Buyer may give notice requiring delivery within a further seven (7) calendar days; if complete evidence is still not delivered, the traceability review is failed, the Selected Third-Party may suspend inspection of the batch, shipment of the batch shall not be released, and the Buyer may reject the batch or require its replacement from traceable components at the Seller’s cost.</w:t>
      </w:r>
    </w:p>
    <w:p w14:paraId="63DB8F45"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4.5.3 Each container, battery rack, high-voltage box, battery module, PCS and BMS controller shall bear a permanent, unique serial number legible from its installed position. Before shipment of each batch the Seller shall deliver to the Buyer and the Selected Third-Party an as-built register in machine-readable electronic form linking each container serial number to the serial numbers of the racks, modules, PCS, BMS, HVAC and fire suppression units installed in it, the cell batch numbers, the firmware and software versions, the FAT report reference and any approved change code. Units delivered whose serial numbers do not match the as-built register and the FAT records may be rejected under Clause 6.1.</w:t>
      </w:r>
    </w:p>
    <w:p w14:paraId="791448EB" w14:textId="77777777" w:rsidR="009E333E" w:rsidRDefault="00000000">
      <w:pPr>
        <w:pStyle w:val="Heading2"/>
        <w:spacing w:before="200" w:after="80"/>
        <w:ind w:left="360"/>
        <w:rPr>
          <w:rFonts w:asciiTheme="minorHAnsi" w:hAnsiTheme="minorHAnsi" w:cstheme="minorHAnsi"/>
          <w:szCs w:val="22"/>
        </w:rPr>
      </w:pPr>
      <w:r>
        <w:rPr>
          <w:rFonts w:asciiTheme="minorHAnsi" w:hAnsiTheme="minorHAnsi" w:cstheme="minorHAnsi"/>
          <w:szCs w:val="22"/>
        </w:rPr>
        <w:t>4.6 Intellectual Property Rights and Indemnification</w:t>
      </w:r>
    </w:p>
    <w:p w14:paraId="1A3E4D12"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4.6.1 Rights to Use: The Seller represents and warrants that it holds all necessary rights, licences and authorisations to manufacture, distribute and sell the goods provided under this Agreement. The Seller further warrants that the goods do not infringe upon or violate any patents, trademarks, copyrights, trade secrets or other intellectual property rights of any third party, at the Effective Date or at any time during the Warranty Period.</w:t>
      </w:r>
    </w:p>
    <w:p w14:paraId="631F5C04" w14:textId="2A5E020D"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4.6.2 Indemnification: The Seller shall indemnify, defend and hold harmless the Buyer, its affiliates, officers, directors, employees, agents and customers from and against any and all </w:t>
      </w:r>
      <w:r>
        <w:rPr>
          <w:rFonts w:asciiTheme="minorHAnsi" w:hAnsiTheme="minorHAnsi" w:cstheme="minorHAnsi"/>
          <w:szCs w:val="22"/>
        </w:rPr>
        <w:lastRenderedPageBreak/>
        <w:t xml:space="preserve">claims, liabilities, damages, losses, costs and expenses (including </w:t>
      </w:r>
      <w:r>
        <w:rPr>
          <w:rFonts w:asciiTheme="minorHAnsi" w:hAnsiTheme="minorHAnsi" w:cstheme="minorHAnsi"/>
          <w:szCs w:val="22"/>
        </w:rPr>
        <w:t>reasonable legal fees</w:t>
      </w:r>
      <w:r>
        <w:rPr>
          <w:rFonts w:asciiTheme="minorHAnsi" w:hAnsiTheme="minorHAnsi" w:cstheme="minorHAnsi"/>
          <w:szCs w:val="22"/>
        </w:rPr>
        <w:t>) arising out of or related to any claim that the goods provided by the Seller infringe upon or misappropriate any patent, trademark, copyright, trade secret or other intellectual property right of a third party.</w:t>
      </w:r>
    </w:p>
    <w:p w14:paraId="4519F34C"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4.6.3 Remedial Actions: In the event that any goods are found to infringe upon third-party rights, the Seller shall, at its own expense and at the Buyer’s discretion, either: (a) procure for the Buyer the right to continue using the goods; (b) modify the goods to be non-infringing without diminishing their functionality; or (c) replace the goods with a non-infringing alternative of equivalent functionality.</w:t>
      </w:r>
    </w:p>
    <w:p w14:paraId="0F978F64"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4.6.4 Costs and Damages: The Seller shall be solely responsible for any settlement amounts, damages or costs (including legal fees) arising from claims of infringement. The Buyer shall notify the Seller promptly of any such claims and cooperate in the defence, provided that the Seller assumes full control of the defence and settlement process, subject to the Buyer’s reasonable approval and to the procedure in Clause 14.2.</w:t>
      </w:r>
    </w:p>
    <w:p w14:paraId="4464AE91"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4.6.5 Exclusions: This indemnification obligation shall not apply to claims arising solely from modifications made by the Buyer without the Seller’s authorisation or from the Buyer’s combination of the goods with other products not provided by the Seller, where such combination is the sole cause of infringement.</w:t>
      </w:r>
    </w:p>
    <w:p w14:paraId="6589D634" w14:textId="77777777" w:rsidR="009E333E" w:rsidRDefault="00000000">
      <w:pPr>
        <w:pStyle w:val="Heading2"/>
        <w:spacing w:before="200" w:after="80"/>
        <w:ind w:left="360"/>
        <w:rPr>
          <w:rFonts w:asciiTheme="minorHAnsi" w:hAnsiTheme="minorHAnsi" w:cstheme="minorHAnsi"/>
          <w:szCs w:val="22"/>
        </w:rPr>
      </w:pPr>
      <w:r>
        <w:rPr>
          <w:rFonts w:asciiTheme="minorHAnsi" w:hAnsiTheme="minorHAnsi" w:cstheme="minorHAnsi"/>
          <w:szCs w:val="22"/>
        </w:rPr>
        <w:t>4.7 Cybersecurity</w:t>
      </w:r>
    </w:p>
    <w:p w14:paraId="73EB6773"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i/>
          <w:iCs/>
          <w:color w:val="1F4E79"/>
          <w:szCs w:val="22"/>
          <w:highlight w:val="green"/>
        </w:rPr>
        <w:t>Note for ESCA readers: cybersecurity requirements are usually linked to local regulations. The detailed requirements are in APPENDIX V and follow the latest regulations impacting BESS (NIS2, Cyber Resilience Act, IEC 62443).</w:t>
      </w:r>
    </w:p>
    <w:p w14:paraId="28EC8976"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4.7.1 The Seller shall comply with the cybersecurity requirements set out in </w:t>
      </w:r>
      <w:r>
        <w:rPr>
          <w:rFonts w:asciiTheme="minorHAnsi" w:hAnsiTheme="minorHAnsi" w:cstheme="minorHAnsi"/>
          <w:szCs w:val="22"/>
          <w:highlight w:val="cyan"/>
        </w:rPr>
        <w:t>APPENDIX V</w:t>
      </w:r>
      <w:r>
        <w:rPr>
          <w:rFonts w:asciiTheme="minorHAnsi" w:hAnsiTheme="minorHAnsi" w:cstheme="minorHAnsi"/>
          <w:szCs w:val="22"/>
        </w:rPr>
        <w:t xml:space="preserve"> (Cybersecurity Requirements), which forms an integral part of this Agreement, and shall ensure that the BESS, including its BMS, EMS, PCS controllers, gateways and all Software and firmware, complies with all applicable cybersecurity laws, regulations and standards.</w:t>
      </w:r>
    </w:p>
    <w:p w14:paraId="15622FE3"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4.7.2 The Seller warrants that the BESS contains no undocumented or unauthorised communication component or mechanism, that all firmware and Software are free from malicious code and can be verified by the Buyer or the Selected Third-Party, and that it will notify the Buyer of cybersecurity incidents and critical vulnerabilities within the periods stated in </w:t>
      </w:r>
      <w:r>
        <w:rPr>
          <w:rFonts w:asciiTheme="minorHAnsi" w:hAnsiTheme="minorHAnsi" w:cstheme="minorHAnsi"/>
          <w:szCs w:val="22"/>
          <w:highlight w:val="cyan"/>
        </w:rPr>
        <w:t>APPENDIX V</w:t>
      </w:r>
      <w:r>
        <w:rPr>
          <w:rFonts w:asciiTheme="minorHAnsi" w:hAnsiTheme="minorHAnsi" w:cstheme="minorHAnsi"/>
          <w:szCs w:val="22"/>
        </w:rPr>
        <w:t xml:space="preserve"> and provide security updates throughout the operating life of the BESS.</w:t>
      </w:r>
    </w:p>
    <w:p w14:paraId="72D3DDE5" w14:textId="116B474A"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4.7.3 If an undisclosed communication capability or component is discovered, or the Seller fails to comply with </w:t>
      </w:r>
      <w:r>
        <w:rPr>
          <w:rFonts w:asciiTheme="minorHAnsi" w:hAnsiTheme="minorHAnsi" w:cstheme="minorHAnsi"/>
          <w:szCs w:val="22"/>
          <w:highlight w:val="cyan"/>
        </w:rPr>
        <w:t>APPENDIX V</w:t>
      </w:r>
      <w:r>
        <w:rPr>
          <w:rFonts w:asciiTheme="minorHAnsi" w:hAnsiTheme="minorHAnsi" w:cstheme="minorHAnsi"/>
          <w:szCs w:val="22"/>
        </w:rPr>
        <w:t xml:space="preserve">, the Buyer may terminate this Agreement with immediate effect, the Seller shall bear all costs of removal, replacement and re-certification of the affected units and shall indemnify the Buyer against all resulting claims, losses, fines and </w:t>
      </w:r>
      <w:r>
        <w:rPr>
          <w:rFonts w:asciiTheme="minorHAnsi" w:hAnsiTheme="minorHAnsi" w:cstheme="minorHAnsi"/>
          <w:szCs w:val="22"/>
        </w:rPr>
        <w:t xml:space="preserve">Availability liquidated damages calculated under Clause 7.3 and </w:t>
      </w:r>
      <w:r>
        <w:rPr>
          <w:rFonts w:asciiTheme="minorHAnsi" w:hAnsiTheme="minorHAnsi" w:cstheme="minorHAnsi"/>
          <w:szCs w:val="22"/>
          <w:highlight w:val="cyan"/>
        </w:rPr>
        <w:t>APPENDIX G</w:t>
      </w:r>
      <w:r>
        <w:rPr>
          <w:rFonts w:asciiTheme="minorHAnsi" w:hAnsiTheme="minorHAnsi" w:cstheme="minorHAnsi"/>
          <w:szCs w:val="22"/>
        </w:rPr>
        <w:t>, without duplicate recovery for the same loss</w:t>
      </w:r>
      <w:r>
        <w:rPr>
          <w:rFonts w:asciiTheme="minorHAnsi" w:hAnsiTheme="minorHAnsi" w:cstheme="minorHAnsi"/>
          <w:szCs w:val="22"/>
        </w:rPr>
        <w:t xml:space="preserve">. Any failure to comply with applicable cybersecurity regulations or to remedy a critical vulnerability </w:t>
      </w:r>
      <w:r>
        <w:rPr>
          <w:rFonts w:asciiTheme="minorHAnsi" w:hAnsiTheme="minorHAnsi" w:cstheme="minorHAnsi"/>
          <w:szCs w:val="22"/>
        </w:rPr>
        <w:t xml:space="preserve">within the remediation period stated in </w:t>
      </w:r>
      <w:r>
        <w:rPr>
          <w:rFonts w:asciiTheme="minorHAnsi" w:hAnsiTheme="minorHAnsi" w:cstheme="minorHAnsi"/>
          <w:szCs w:val="22"/>
          <w:highlight w:val="cyan"/>
        </w:rPr>
        <w:t>APPENDIX V</w:t>
      </w:r>
      <w:r>
        <w:rPr>
          <w:rFonts w:asciiTheme="minorHAnsi" w:hAnsiTheme="minorHAnsi" w:cstheme="minorHAnsi"/>
          <w:szCs w:val="22"/>
        </w:rPr>
        <w:t xml:space="preserve"> section 9 is a Material Breach.</w:t>
      </w:r>
    </w:p>
    <w:p w14:paraId="44F49081" w14:textId="77777777" w:rsidR="009E333E" w:rsidRDefault="00000000">
      <w:pPr>
        <w:pStyle w:val="Heading2"/>
        <w:spacing w:before="200" w:after="80"/>
        <w:ind w:left="360"/>
        <w:rPr>
          <w:rFonts w:asciiTheme="minorHAnsi" w:hAnsiTheme="minorHAnsi" w:cstheme="minorHAnsi"/>
          <w:szCs w:val="22"/>
        </w:rPr>
      </w:pPr>
      <w:r>
        <w:rPr>
          <w:rFonts w:asciiTheme="minorHAnsi" w:hAnsiTheme="minorHAnsi" w:cstheme="minorHAnsi"/>
          <w:szCs w:val="22"/>
        </w:rPr>
        <w:t>4.8 Certification Deliverables</w:t>
      </w:r>
    </w:p>
    <w:p w14:paraId="75587782" w14:textId="6B4A35DE"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Within thirty (30) calendar days of the Effective Date and in any event before the start of production, the Seller shall deliver a certification matrix listing, for the BESS and each major component (cell, module, rack, BMS, PCS, HVAC, fire suppression and EMS), </w:t>
      </w:r>
      <w:r>
        <w:rPr>
          <w:rFonts w:asciiTheme="minorHAnsi" w:hAnsiTheme="minorHAnsi" w:cstheme="minorHAnsi"/>
          <w:szCs w:val="22"/>
        </w:rPr>
        <w:t xml:space="preserve">every applicable product and system standard listed in </w:t>
      </w:r>
      <w:r>
        <w:rPr>
          <w:rFonts w:asciiTheme="minorHAnsi" w:hAnsiTheme="minorHAnsi" w:cstheme="minorHAnsi"/>
          <w:szCs w:val="22"/>
          <w:highlight w:val="cyan"/>
        </w:rPr>
        <w:t>APPENDIX H</w:t>
      </w:r>
      <w:r>
        <w:rPr>
          <w:rFonts w:asciiTheme="minorHAnsi" w:hAnsiTheme="minorHAnsi" w:cstheme="minorHAnsi"/>
          <w:szCs w:val="22"/>
        </w:rPr>
        <w:t xml:space="preserve"> with its edition, the conformity route (certification or test report), the certificate or report identifier, the certification body or </w:t>
      </w:r>
      <w:r>
        <w:rPr>
          <w:rFonts w:asciiTheme="minorHAnsi" w:hAnsiTheme="minorHAnsi" w:cstheme="minorHAnsi"/>
          <w:szCs w:val="22"/>
        </w:rPr>
        <w:lastRenderedPageBreak/>
        <w:t>laboratory, the date of issue, the scope and configuration covered and, where applicable, the expiry or review date, together with full copies of the certificates and test reports.</w:t>
      </w:r>
      <w:r>
        <w:rPr>
          <w:rFonts w:asciiTheme="minorHAnsi" w:hAnsiTheme="minorHAnsi" w:cstheme="minorHAnsi"/>
          <w:szCs w:val="22"/>
        </w:rPr>
        <w:t xml:space="preserve"> </w:t>
      </w:r>
      <w:r>
        <w:rPr>
          <w:rFonts w:asciiTheme="minorHAnsi" w:hAnsiTheme="minorHAnsi" w:cstheme="minorHAnsi"/>
          <w:szCs w:val="22"/>
        </w:rPr>
        <w:t>UL 9540A (or equivalent) test reports</w:t>
      </w:r>
      <w:r>
        <w:rPr>
          <w:rFonts w:asciiTheme="minorHAnsi" w:hAnsiTheme="minorHAnsi" w:cstheme="minorHAnsi"/>
          <w:szCs w:val="22"/>
        </w:rPr>
        <w:t xml:space="preserve"> shall relate to the exact cell model, module and enclosure supplied under this Agreement. The Seller warrants that the BESS will satisfy the regulations in force at the date on which it is placed on the market in the country of the </w:t>
      </w:r>
      <w:r>
        <w:rPr>
          <w:rFonts w:asciiTheme="minorHAnsi" w:hAnsiTheme="minorHAnsi" w:cstheme="minorHAnsi"/>
          <w:szCs w:val="22"/>
          <w:highlight w:val="yellow"/>
        </w:rPr>
        <w:t>Named Place of Destination</w:t>
      </w:r>
      <w:r>
        <w:rPr>
          <w:rFonts w:asciiTheme="minorHAnsi" w:hAnsiTheme="minorHAnsi" w:cstheme="minorHAnsi"/>
          <w:szCs w:val="22"/>
        </w:rPr>
        <w:t>, including any requirement entering into force between the Effective Date and that date, and shall renew at its own cost any certificate expiring before the last scheduled delivery.</w:t>
      </w:r>
    </w:p>
    <w:p w14:paraId="5DED9D7A" w14:textId="77777777" w:rsidR="009E333E" w:rsidRDefault="00000000">
      <w:pPr>
        <w:pStyle w:val="Heading2"/>
        <w:spacing w:before="200" w:after="80"/>
        <w:ind w:left="360"/>
        <w:rPr>
          <w:rFonts w:asciiTheme="minorHAnsi" w:hAnsiTheme="minorHAnsi" w:cstheme="minorHAnsi"/>
          <w:szCs w:val="22"/>
        </w:rPr>
      </w:pPr>
      <w:r>
        <w:rPr>
          <w:rFonts w:asciiTheme="minorHAnsi" w:hAnsiTheme="minorHAnsi" w:cstheme="minorHAnsi"/>
          <w:szCs w:val="22"/>
        </w:rPr>
        <w:t>4.9 Design Deliverables and Review</w:t>
      </w:r>
    </w:p>
    <w:p w14:paraId="7FBF36B2"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4.9.1 The Seller shall submit the design and documentation deliverables listed in </w:t>
      </w:r>
      <w:r>
        <w:rPr>
          <w:rFonts w:asciiTheme="minorHAnsi" w:hAnsiTheme="minorHAnsi" w:cstheme="minorHAnsi"/>
          <w:szCs w:val="22"/>
          <w:highlight w:val="cyan"/>
        </w:rPr>
        <w:t>APPENDIX S</w:t>
      </w:r>
      <w:r>
        <w:rPr>
          <w:rFonts w:asciiTheme="minorHAnsi" w:hAnsiTheme="minorHAnsi" w:cstheme="minorHAnsi"/>
          <w:szCs w:val="22"/>
        </w:rPr>
        <w:t xml:space="preserve"> (including general arrangement and interface drawings, single-line diagrams, protection and control philosophy, HVAC and fire-safety design, foundation and cable loads, communication and data interface specifications, safety case and certification evidence, FAT and SAT procedures, O&amp;M manuals and training materials) by the dates stated in </w:t>
      </w:r>
      <w:r>
        <w:rPr>
          <w:rFonts w:asciiTheme="minorHAnsi" w:hAnsiTheme="minorHAnsi" w:cstheme="minorHAnsi"/>
          <w:szCs w:val="22"/>
          <w:highlight w:val="cyan"/>
        </w:rPr>
        <w:t>APPENDIX I</w:t>
      </w:r>
      <w:r>
        <w:rPr>
          <w:rFonts w:asciiTheme="minorHAnsi" w:hAnsiTheme="minorHAnsi" w:cstheme="minorHAnsi"/>
          <w:szCs w:val="22"/>
        </w:rPr>
        <w:t>.</w:t>
      </w:r>
    </w:p>
    <w:p w14:paraId="65A241A6"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4.9.2 The Buyer or the Selected Third-Party shall review each deliverable within </w:t>
      </w:r>
      <w:r>
        <w:rPr>
          <w:rFonts w:asciiTheme="minorHAnsi" w:hAnsiTheme="minorHAnsi" w:cstheme="minorHAnsi"/>
          <w:szCs w:val="22"/>
          <w:highlight w:val="yellow"/>
        </w:rPr>
        <w:t>[ten (10)]</w:t>
      </w:r>
      <w:r>
        <w:rPr>
          <w:rFonts w:asciiTheme="minorHAnsi" w:hAnsiTheme="minorHAnsi" w:cstheme="minorHAnsi"/>
          <w:szCs w:val="22"/>
        </w:rPr>
        <w:t xml:space="preserve"> Business Days of receipt and return it either with no objection (which may include minor comments) or with reasons why it does not comply with this Agreement. Silence is not approval. A rejected deliverable shall be revised and resubmitted within </w:t>
      </w:r>
      <w:r>
        <w:rPr>
          <w:rFonts w:asciiTheme="minorHAnsi" w:hAnsiTheme="minorHAnsi" w:cstheme="minorHAnsi"/>
          <w:szCs w:val="22"/>
          <w:highlight w:val="yellow"/>
        </w:rPr>
        <w:t>[ten (10)]</w:t>
      </w:r>
      <w:r>
        <w:rPr>
          <w:rFonts w:asciiTheme="minorHAnsi" w:hAnsiTheme="minorHAnsi" w:cstheme="minorHAnsi"/>
          <w:szCs w:val="22"/>
        </w:rPr>
        <w:t xml:space="preserve"> Business Days at the Seller’s cost without extension of time; manufacture shall not start on any item until the corresponding deliverables have received a no-objection.</w:t>
      </w:r>
    </w:p>
    <w:p w14:paraId="1CBD683B"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4.9.3 Review or no-objection by the Buyer does not relieve the Seller of responsibility for the design or transfer any risk to the Buyer.</w:t>
      </w:r>
    </w:p>
    <w:p w14:paraId="29545AA1"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4.9.4 If a deliverable identified in </w:t>
      </w:r>
      <w:r>
        <w:rPr>
          <w:rFonts w:asciiTheme="minorHAnsi" w:hAnsiTheme="minorHAnsi" w:cstheme="minorHAnsi"/>
          <w:szCs w:val="22"/>
          <w:highlight w:val="cyan"/>
        </w:rPr>
        <w:t>APPENDIX I</w:t>
      </w:r>
      <w:r>
        <w:rPr>
          <w:rFonts w:asciiTheme="minorHAnsi" w:hAnsiTheme="minorHAnsi" w:cstheme="minorHAnsi"/>
          <w:szCs w:val="22"/>
        </w:rPr>
        <w:t xml:space="preserve"> as critical is late, the Seller shall pay design delay liquidated damages of </w:t>
      </w:r>
      <w:r>
        <w:rPr>
          <w:rFonts w:asciiTheme="minorHAnsi" w:hAnsiTheme="minorHAnsi" w:cstheme="minorHAnsi"/>
          <w:szCs w:val="22"/>
          <w:highlight w:val="yellow"/>
        </w:rPr>
        <w:t>[0.1 per cent (0.1%)]</w:t>
      </w:r>
      <w:r>
        <w:rPr>
          <w:rFonts w:asciiTheme="minorHAnsi" w:hAnsiTheme="minorHAnsi" w:cstheme="minorHAnsi"/>
          <w:szCs w:val="22"/>
        </w:rPr>
        <w:t xml:space="preserve"> of the Contract Price per week of delay, subject to the Delay LD Cap.</w:t>
      </w:r>
    </w:p>
    <w:p w14:paraId="242598FF" w14:textId="77777777" w:rsidR="009E333E" w:rsidRDefault="00000000">
      <w:pPr>
        <w:pStyle w:val="Heading2"/>
        <w:spacing w:before="200" w:after="80"/>
        <w:ind w:left="360"/>
        <w:rPr>
          <w:rFonts w:asciiTheme="minorHAnsi" w:hAnsiTheme="minorHAnsi" w:cstheme="minorHAnsi"/>
          <w:szCs w:val="22"/>
        </w:rPr>
      </w:pPr>
      <w:r>
        <w:rPr>
          <w:rFonts w:asciiTheme="minorHAnsi" w:hAnsiTheme="minorHAnsi" w:cstheme="minorHAnsi"/>
          <w:szCs w:val="22"/>
        </w:rPr>
        <w:t>4.10 Technical Documentation and Specification Consistency</w:t>
      </w:r>
    </w:p>
    <w:p w14:paraId="516B458E"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4.10.1 The Seller shall deliver, in English and in electronic form within thirty (30) calendar days of the Effective Date, the technical documentation listed in </w:t>
      </w:r>
      <w:r>
        <w:rPr>
          <w:rFonts w:asciiTheme="minorHAnsi" w:hAnsiTheme="minorHAnsi" w:cstheme="minorHAnsi"/>
          <w:szCs w:val="22"/>
          <w:highlight w:val="cyan"/>
        </w:rPr>
        <w:t>APPENDIX S</w:t>
      </w:r>
      <w:r>
        <w:rPr>
          <w:rFonts w:asciiTheme="minorHAnsi" w:hAnsiTheme="minorHAnsi" w:cstheme="minorHAnsi"/>
          <w:szCs w:val="22"/>
        </w:rPr>
        <w:t xml:space="preserve"> (datasheets and manuals, single-line diagrams, sensor layouts, cell cycle-life and calendar-ageing curves, open-circuit voltage curve, PCS efficiency curve, auxiliary consumption, BMS and PCS data points and the SOC and SOH estimation methods). These documents form part of the Specification and the values stated in them are warranted values.</w:t>
      </w:r>
    </w:p>
    <w:p w14:paraId="1B58270A" w14:textId="19016350"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4.10.2 The Seller warrants that </w:t>
      </w:r>
      <w:r>
        <w:rPr>
          <w:rFonts w:asciiTheme="minorHAnsi" w:hAnsiTheme="minorHAnsi" w:cstheme="minorHAnsi"/>
          <w:szCs w:val="22"/>
          <w:highlight w:val="cyan"/>
        </w:rPr>
        <w:t>APPENDICES B to E</w:t>
      </w:r>
      <w:r>
        <w:rPr>
          <w:rFonts w:asciiTheme="minorHAnsi" w:hAnsiTheme="minorHAnsi" w:cstheme="minorHAnsi"/>
          <w:szCs w:val="22"/>
        </w:rPr>
        <w:t xml:space="preserve"> are complete and internally consistent and that each figure in them is valid for the site conditions stated in </w:t>
      </w:r>
      <w:r>
        <w:rPr>
          <w:rFonts w:asciiTheme="minorHAnsi" w:hAnsiTheme="minorHAnsi" w:cstheme="minorHAnsi"/>
          <w:szCs w:val="22"/>
          <w:highlight w:val="cyan"/>
        </w:rPr>
        <w:t>APPENDIX B</w:t>
      </w:r>
      <w:r>
        <w:rPr>
          <w:rFonts w:asciiTheme="minorHAnsi" w:hAnsiTheme="minorHAnsi" w:cstheme="minorHAnsi"/>
          <w:szCs w:val="22"/>
        </w:rPr>
        <w:t xml:space="preserve">, including minimum and maximum ambient temperature, altitude, humidity and seismic class. The Seller shall state the heating and cooling capacity required to maintain the cells within their operating range across the full ambient range, the resulting parasitic consumption in kWh per day, the derating applied at the site altitude for the BESS, PCS and any transformer, and shall confirm that any transformer or switchgear within its scope is rated for the maximum continuous and short-time AC output of the BESS. </w:t>
      </w:r>
      <w:r>
        <w:rPr>
          <w:rFonts w:asciiTheme="minorHAnsi" w:hAnsiTheme="minorHAnsi" w:cstheme="minorHAnsi"/>
          <w:szCs w:val="22"/>
        </w:rPr>
        <w:t>Figures shall be compared only where the quantity, component level, measurement boundary, operating conditions and assessment date are the same; where two such comparable figures in the Seller’s documents conflict, the figure more favourable to the Buyer applies. Any other inconsistency shall be referred to the Buyer and resolved in writing before manufacture, failing which Clause 20.2 applies.</w:t>
      </w:r>
    </w:p>
    <w:p w14:paraId="1FDE64EE" w14:textId="77777777" w:rsidR="009E333E" w:rsidRDefault="00000000">
      <w:pPr>
        <w:pStyle w:val="Heading2"/>
        <w:spacing w:before="200" w:after="80"/>
        <w:ind w:left="360"/>
        <w:rPr>
          <w:rFonts w:asciiTheme="minorHAnsi" w:hAnsiTheme="minorHAnsi" w:cstheme="minorHAnsi"/>
          <w:szCs w:val="22"/>
        </w:rPr>
      </w:pPr>
      <w:r>
        <w:rPr>
          <w:rFonts w:asciiTheme="minorHAnsi" w:hAnsiTheme="minorHAnsi" w:cstheme="minorHAnsi"/>
          <w:szCs w:val="22"/>
        </w:rPr>
        <w:lastRenderedPageBreak/>
        <w:t>4.11 Variations</w:t>
      </w:r>
    </w:p>
    <w:p w14:paraId="31D2BE14"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4.11.1 The Buyer may at any time before Site Acceptance instruct a Variation to the scope, specification, quantity, delivery sequence or destination of the BESS, or request a proposal for one. The Seller may decline to perform a Variation only if it would breach applicable law, reduce the safety or certification of the BESS or require components the Seller cannot reasonably obtain, and shall say so with reasons within ten (10) Business Days.</w:t>
      </w:r>
    </w:p>
    <w:p w14:paraId="7CD2C0E8"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4.11.2 Within fourteen (14) days of a request the Seller shall submit a proposal describing the technical change, the effect on the programme and on the Performance Guarantees, and the price adjustment calculated at the rates in </w:t>
      </w:r>
      <w:r>
        <w:rPr>
          <w:rFonts w:asciiTheme="minorHAnsi" w:hAnsiTheme="minorHAnsi" w:cstheme="minorHAnsi"/>
          <w:szCs w:val="22"/>
          <w:highlight w:val="cyan"/>
        </w:rPr>
        <w:t>APPENDIX K</w:t>
      </w:r>
      <w:r>
        <w:rPr>
          <w:rFonts w:asciiTheme="minorHAnsi" w:hAnsiTheme="minorHAnsi" w:cstheme="minorHAnsi"/>
          <w:szCs w:val="22"/>
        </w:rPr>
        <w:t xml:space="preserve"> or, where none apply, at documented cost plus a margin not exceeding </w:t>
      </w:r>
      <w:r>
        <w:rPr>
          <w:rFonts w:asciiTheme="minorHAnsi" w:hAnsiTheme="minorHAnsi" w:cstheme="minorHAnsi"/>
          <w:szCs w:val="22"/>
          <w:highlight w:val="yellow"/>
        </w:rPr>
        <w:t>[five per cent (5%)]</w:t>
      </w:r>
      <w:r>
        <w:rPr>
          <w:rFonts w:asciiTheme="minorHAnsi" w:hAnsiTheme="minorHAnsi" w:cstheme="minorHAnsi"/>
          <w:szCs w:val="22"/>
        </w:rPr>
        <w:t>. The Buyer may accept, reject or negotiate the proposal at its discretion. The Seller shall not suspend or slow performance while a proposal is under consideration and shall not implement any Variation until instructed in writing.</w:t>
      </w:r>
    </w:p>
    <w:p w14:paraId="3C3F7499"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4.11.3 Reductions in scope are credited at the same rates. No Variation is effective unless signed by both Parties; work performed without a signed Variation is at the Seller’s risk and cost.</w:t>
      </w:r>
    </w:p>
    <w:p w14:paraId="6968F635" w14:textId="77777777" w:rsidR="009E333E" w:rsidRDefault="00000000">
      <w:pPr>
        <w:pStyle w:val="Heading2"/>
        <w:spacing w:before="200" w:after="80"/>
        <w:ind w:left="360"/>
        <w:rPr>
          <w:rFonts w:asciiTheme="minorHAnsi" w:hAnsiTheme="minorHAnsi" w:cstheme="minorHAnsi"/>
          <w:szCs w:val="22"/>
        </w:rPr>
      </w:pPr>
      <w:r>
        <w:rPr>
          <w:rFonts w:asciiTheme="minorHAnsi" w:hAnsiTheme="minorHAnsi" w:cstheme="minorHAnsi"/>
          <w:szCs w:val="22"/>
        </w:rPr>
        <w:t>4.12 Standards, Change in Law, Permits and Approvals</w:t>
      </w:r>
    </w:p>
    <w:p w14:paraId="7ABA4D48" w14:textId="22B1E772"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4.12.1 The BESS, its design, manufacture, testing, documentation and Software shall comply with the standards and certifications listed in </w:t>
      </w:r>
      <w:r>
        <w:rPr>
          <w:rFonts w:asciiTheme="minorHAnsi" w:hAnsiTheme="minorHAnsi" w:cstheme="minorHAnsi"/>
          <w:szCs w:val="22"/>
          <w:highlight w:val="cyan"/>
        </w:rPr>
        <w:t>APPENDIX H</w:t>
      </w:r>
      <w:r>
        <w:rPr>
          <w:rFonts w:asciiTheme="minorHAnsi" w:hAnsiTheme="minorHAnsi" w:cstheme="minorHAnsi"/>
          <w:szCs w:val="22"/>
        </w:rPr>
        <w:t xml:space="preserve">, all applicable laws of the countries of manufacture, transit and destination, and the grid and safety requirements at the </w:t>
      </w:r>
      <w:r>
        <w:rPr>
          <w:rFonts w:asciiTheme="minorHAnsi" w:hAnsiTheme="minorHAnsi" w:cstheme="minorHAnsi"/>
          <w:szCs w:val="22"/>
          <w:highlight w:val="yellow"/>
        </w:rPr>
        <w:t>Named Place of Destination</w:t>
      </w:r>
      <w:r>
        <w:rPr>
          <w:rFonts w:asciiTheme="minorHAnsi" w:hAnsiTheme="minorHAnsi" w:cstheme="minorHAnsi"/>
          <w:szCs w:val="22"/>
        </w:rPr>
        <w:t xml:space="preserve">. </w:t>
      </w:r>
      <w:r>
        <w:rPr>
          <w:rFonts w:asciiTheme="minorHAnsi" w:hAnsiTheme="minorHAnsi" w:cstheme="minorHAnsi"/>
          <w:szCs w:val="22"/>
        </w:rPr>
        <w:t>Mandatory law prevails. If applicable legal requirements conflict with one another, the Seller shall notify the Buyer promptly and propose a lawful solution before performing the affected activity. If contractual standards conflict, the higher requirement applies where both can be satisfied together; otherwise the Parties shall resolve the conflict in writing, subject to mandatory law and Clause 4.12.2.</w:t>
      </w:r>
      <w:r>
        <w:rPr>
          <w:rFonts w:asciiTheme="minorHAnsi" w:hAnsiTheme="minorHAnsi" w:cstheme="minorHAnsi"/>
          <w:szCs w:val="22"/>
        </w:rPr>
        <w:t xml:space="preserve"> </w:t>
      </w:r>
      <w:r>
        <w:rPr>
          <w:rFonts w:asciiTheme="minorHAnsi" w:hAnsiTheme="minorHAnsi" w:cstheme="minorHAnsi"/>
          <w:szCs w:val="22"/>
        </w:rPr>
        <w:t xml:space="preserve">The applicable standards are those in force at the date of Delivery, in the editions identified in </w:t>
      </w:r>
      <w:r>
        <w:rPr>
          <w:rFonts w:asciiTheme="minorHAnsi" w:hAnsiTheme="minorHAnsi" w:cstheme="minorHAnsi"/>
          <w:szCs w:val="22"/>
          <w:highlight w:val="cyan"/>
        </w:rPr>
        <w:t>APPENDIX H</w:t>
      </w:r>
      <w:r>
        <w:rPr>
          <w:rFonts w:asciiTheme="minorHAnsi" w:hAnsiTheme="minorHAnsi" w:cstheme="minorHAnsi"/>
          <w:szCs w:val="22"/>
        </w:rPr>
        <w:t>.</w:t>
      </w:r>
    </w:p>
    <w:p w14:paraId="5833B0ED"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4.12.2 If a law or standard changes after the Effective Date in a way that an experienced manufacturer could not reasonably have foreseen, the Seller shall notify the Buyer with a compliance proposal and the change shall be dealt with as a Variation under Clause 4.11. Any change that was foreseeable, announced or in draft at the Effective Date is at the Seller’s cost and does not extend any date.</w:t>
      </w:r>
    </w:p>
    <w:p w14:paraId="521751FB" w14:textId="1E08BB63"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4.12.3 The Seller is responsible, at its cost, for all product certifications, conformity assessments, export licences, transport and dangerous goods approvals, </w:t>
      </w:r>
      <w:r>
        <w:rPr>
          <w:rFonts w:asciiTheme="minorHAnsi" w:hAnsiTheme="minorHAnsi" w:cstheme="minorHAnsi"/>
          <w:szCs w:val="22"/>
        </w:rPr>
        <w:t xml:space="preserve">import formalities and registrations required for the BESS as a product and allocated to the Seller under Clause 5.3 and </w:t>
      </w:r>
      <w:r>
        <w:rPr>
          <w:rFonts w:asciiTheme="minorHAnsi" w:hAnsiTheme="minorHAnsi" w:cstheme="minorHAnsi"/>
          <w:szCs w:val="22"/>
          <w:highlight w:val="cyan"/>
        </w:rPr>
        <w:t>APPENDIX W</w:t>
      </w:r>
      <w:r>
        <w:rPr>
          <w:rFonts w:asciiTheme="minorHAnsi" w:hAnsiTheme="minorHAnsi" w:cstheme="minorHAnsi"/>
          <w:szCs w:val="22"/>
        </w:rPr>
        <w:t xml:space="preserve">, including under the Batteries Regulation, F-gas and cybersecurity legislation. The Buyer is responsible for site, planning, environmental, construction and grid connection permits. </w:t>
      </w:r>
      <w:r>
        <w:rPr>
          <w:rFonts w:asciiTheme="minorHAnsi" w:hAnsiTheme="minorHAnsi" w:cstheme="minorHAnsi"/>
          <w:szCs w:val="22"/>
          <w:highlight w:val="cyan"/>
        </w:rPr>
        <w:t>APPENDIX J</w:t>
      </w:r>
      <w:r>
        <w:rPr>
          <w:rFonts w:asciiTheme="minorHAnsi" w:hAnsiTheme="minorHAnsi" w:cstheme="minorHAnsi"/>
          <w:szCs w:val="22"/>
        </w:rPr>
        <w:t xml:space="preserve"> contains a responsibility matrix for commissioning and acceptance activities with a legend defining “Accountable” (the single party answerable for completion), “Responsible” (performing), “Consulted” and “Informed”, and naming one Accountable party per line.</w:t>
      </w:r>
    </w:p>
    <w:p w14:paraId="63B0FAE0" w14:textId="77777777" w:rsidR="009E333E" w:rsidRDefault="00000000">
      <w:pPr>
        <w:pStyle w:val="Heading2"/>
        <w:spacing w:before="200" w:after="80"/>
        <w:ind w:left="360"/>
        <w:rPr>
          <w:rFonts w:asciiTheme="minorHAnsi" w:hAnsiTheme="minorHAnsi" w:cstheme="minorHAnsi"/>
          <w:szCs w:val="22"/>
        </w:rPr>
      </w:pPr>
      <w:r>
        <w:rPr>
          <w:rFonts w:asciiTheme="minorHAnsi" w:hAnsiTheme="minorHAnsi" w:cstheme="minorHAnsi"/>
          <w:szCs w:val="22"/>
        </w:rPr>
        <w:t>4.13 Product Safety and Regulatory Compliance</w:t>
      </w:r>
    </w:p>
    <w:p w14:paraId="17954469"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4.13.1 The Seller shall comply with </w:t>
      </w:r>
      <w:r>
        <w:rPr>
          <w:rFonts w:asciiTheme="minorHAnsi" w:hAnsiTheme="minorHAnsi" w:cstheme="minorHAnsi"/>
          <w:szCs w:val="22"/>
          <w:highlight w:val="cyan"/>
        </w:rPr>
        <w:t>APPENDIX W</w:t>
      </w:r>
      <w:r>
        <w:rPr>
          <w:rFonts w:asciiTheme="minorHAnsi" w:hAnsiTheme="minorHAnsi" w:cstheme="minorHAnsi"/>
          <w:szCs w:val="22"/>
        </w:rPr>
        <w:t xml:space="preserve"> (Product Safety and Regulatory Compliance), which forms an integral part of this Agreement and covers (a) refrigerant and thermal management compliance, including Regulation (EU) 2024/573 (F-gas), (b) the Batteries Regulation (EU) 2023/1542, the battery passport and extended producer responsibility, and (c) fire safety, thermal runaway and safety events.</w:t>
      </w:r>
    </w:p>
    <w:p w14:paraId="546E2C3C"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lastRenderedPageBreak/>
        <w:t>4.13.2 Unless otherwise agreed in writing, the Seller is the importer of record for F-gas purposes and the economic operator placing the battery on the market for the purposes of the Batteries Regulation, and bears all obligations and costs attached to those roles, including labelling, the battery passport, carbon footprint and due diligence declarations, take-back and recycling.</w:t>
      </w:r>
      <w:r>
        <w:rPr>
          <w:rFonts w:asciiTheme="minorHAnsi" w:hAnsiTheme="minorHAnsi" w:cstheme="minorHAnsi"/>
          <w:szCs w:val="22"/>
        </w:rPr>
        <w:t xml:space="preserve"> Where the selected Incoterm or applicable law requires the Buyer or another person to hold any of these statutory roles, </w:t>
      </w:r>
      <w:r>
        <w:rPr>
          <w:rFonts w:asciiTheme="minorHAnsi" w:hAnsiTheme="minorHAnsi" w:cstheme="minorHAnsi"/>
          <w:szCs w:val="22"/>
          <w:highlight w:val="cyan"/>
        </w:rPr>
        <w:t>APPENDIX W</w:t>
      </w:r>
      <w:r>
        <w:rPr>
          <w:rFonts w:asciiTheme="minorHAnsi" w:hAnsiTheme="minorHAnsi" w:cstheme="minorHAnsi"/>
          <w:szCs w:val="22"/>
        </w:rPr>
        <w:t xml:space="preserve"> shall identify the responsible person for each role and destination market; the Seller shall provide all documentation, declarations, data and support required for that person to perform the role, and a contractual allocation does not release any person from a statutory obligation.</w:t>
      </w:r>
    </w:p>
    <w:p w14:paraId="21A3ED90" w14:textId="779E3354"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4.13.3 The Seller warrants that the BESS is designed, manufactured and tested to prevent thermal runaway propagation beyond a single module, to detect abnormal conditions at the earliest stage and to contain any fire within the enclosure, in accordance with </w:t>
      </w:r>
      <w:r>
        <w:rPr>
          <w:rFonts w:asciiTheme="minorHAnsi" w:hAnsiTheme="minorHAnsi" w:cstheme="minorHAnsi"/>
          <w:szCs w:val="22"/>
          <w:highlight w:val="cyan"/>
        </w:rPr>
        <w:t>APPENDIX H</w:t>
      </w:r>
      <w:r>
        <w:rPr>
          <w:rFonts w:asciiTheme="minorHAnsi" w:hAnsiTheme="minorHAnsi" w:cstheme="minorHAnsi"/>
          <w:szCs w:val="22"/>
        </w:rPr>
        <w:t xml:space="preserve"> and Good Industry Practice, </w:t>
      </w:r>
      <w:r>
        <w:rPr>
          <w:rFonts w:asciiTheme="minorHAnsi" w:hAnsiTheme="minorHAnsi" w:cstheme="minorHAnsi"/>
          <w:szCs w:val="22"/>
        </w:rPr>
        <w:t xml:space="preserve">and shall deliver before the Notice to Proceed to Manufacture the product safety case required by </w:t>
      </w:r>
      <w:r>
        <w:rPr>
          <w:rFonts w:asciiTheme="minorHAnsi" w:hAnsiTheme="minorHAnsi" w:cstheme="minorHAnsi"/>
          <w:szCs w:val="22"/>
          <w:highlight w:val="cyan"/>
        </w:rPr>
        <w:t>APPENDIX W</w:t>
      </w:r>
      <w:r>
        <w:rPr>
          <w:rFonts w:asciiTheme="minorHAnsi" w:hAnsiTheme="minorHAnsi" w:cstheme="minorHAnsi"/>
          <w:szCs w:val="22"/>
        </w:rPr>
        <w:t xml:space="preserve">, comprising the cell, module, unit and installation-level propagation test reports required by the safety test programme agreed in </w:t>
      </w:r>
      <w:r>
        <w:rPr>
          <w:rFonts w:asciiTheme="minorHAnsi" w:hAnsiTheme="minorHAnsi" w:cstheme="minorHAnsi"/>
          <w:szCs w:val="22"/>
          <w:highlight w:val="cyan"/>
        </w:rPr>
        <w:t>APPENDIX H</w:t>
      </w:r>
      <w:r>
        <w:rPr>
          <w:rFonts w:asciiTheme="minorHAnsi" w:hAnsiTheme="minorHAnsi" w:cstheme="minorHAnsi"/>
          <w:szCs w:val="22"/>
        </w:rPr>
        <w:t>, a documented justification for any test level not required by that programme, and evidence that the reports apply to the supplied configuration.</w:t>
      </w:r>
      <w:r>
        <w:rPr>
          <w:rFonts w:asciiTheme="minorHAnsi" w:hAnsiTheme="minorHAnsi" w:cstheme="minorHAnsi"/>
          <w:szCs w:val="22"/>
        </w:rPr>
        <w:t xml:space="preserve"> The Seller shall notify the Buyer of recalls, safety alerts and safety events, and provide the support, assessments and corrective action plans, within the periods stated in </w:t>
      </w:r>
      <w:r>
        <w:rPr>
          <w:rFonts w:asciiTheme="minorHAnsi" w:hAnsiTheme="minorHAnsi" w:cstheme="minorHAnsi"/>
          <w:szCs w:val="22"/>
          <w:highlight w:val="cyan"/>
        </w:rPr>
        <w:t>APPENDIX W</w:t>
      </w:r>
      <w:r>
        <w:rPr>
          <w:rFonts w:asciiTheme="minorHAnsi" w:hAnsiTheme="minorHAnsi" w:cstheme="minorHAnsi"/>
          <w:szCs w:val="22"/>
        </w:rPr>
        <w:t>, whereupon Clause 7.4 applies.</w:t>
      </w:r>
    </w:p>
    <w:p w14:paraId="28DD7924"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4.13.4 The Seller shall indemnify the Buyer against any fine, cost or loss resulting from non-compliance with this Clause or </w:t>
      </w:r>
      <w:r>
        <w:rPr>
          <w:rFonts w:asciiTheme="minorHAnsi" w:hAnsiTheme="minorHAnsi" w:cstheme="minorHAnsi"/>
          <w:szCs w:val="22"/>
          <w:highlight w:val="cyan"/>
        </w:rPr>
        <w:t>APPENDIX W</w:t>
      </w:r>
      <w:r>
        <w:rPr>
          <w:rFonts w:asciiTheme="minorHAnsi" w:hAnsiTheme="minorHAnsi" w:cstheme="minorHAnsi"/>
          <w:szCs w:val="22"/>
        </w:rPr>
        <w:t>. This Clause survives termination.</w:t>
      </w:r>
    </w:p>
    <w:p w14:paraId="537D2D06" w14:textId="77777777" w:rsidR="009E333E" w:rsidRDefault="00000000">
      <w:pPr>
        <w:pStyle w:val="Heading2"/>
        <w:spacing w:before="200" w:after="80"/>
        <w:ind w:left="360"/>
        <w:rPr>
          <w:rFonts w:asciiTheme="minorHAnsi" w:hAnsiTheme="minorHAnsi" w:cstheme="minorHAnsi"/>
          <w:szCs w:val="22"/>
        </w:rPr>
      </w:pPr>
      <w:r>
        <w:rPr>
          <w:rFonts w:asciiTheme="minorHAnsi" w:hAnsiTheme="minorHAnsi" w:cstheme="minorHAnsi"/>
          <w:szCs w:val="22"/>
        </w:rPr>
        <w:t>4.14 Augmentation Readiness</w:t>
      </w:r>
    </w:p>
    <w:p w14:paraId="04351BF2"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The Seller shall deliver with the design documentation a statement describing how the BESS and its controls accommodate future augmentation or repowering, including the maximum number of additional racks or containers per PCS block, the compatibility of future racks with the installed racks on the same DC bus, any additional PCS, transformer or switchgear capacity required for increased short-circuit currents, and the EMS and BMS provisions for mixed-age operation. The Seller warrants that compatible racks, modules and containers, or a documented replacement path, will remain available for fifteen (15) years from commissioning, and that any augmentation performed under Clause 7.2 will use equipment compliant with the regulations in force at the date of its placing on the market.</w:t>
      </w:r>
    </w:p>
    <w:p w14:paraId="047DC173" w14:textId="77777777" w:rsidR="009E333E" w:rsidRDefault="00000000">
      <w:pPr>
        <w:pStyle w:val="Heading2"/>
        <w:spacing w:before="200" w:after="80"/>
        <w:ind w:left="360"/>
        <w:rPr>
          <w:rFonts w:asciiTheme="minorHAnsi" w:hAnsiTheme="minorHAnsi" w:cstheme="minorHAnsi"/>
          <w:szCs w:val="22"/>
        </w:rPr>
      </w:pPr>
      <w:r>
        <w:rPr>
          <w:rFonts w:asciiTheme="minorHAnsi" w:hAnsiTheme="minorHAnsi" w:cstheme="minorHAnsi"/>
          <w:szCs w:val="22"/>
        </w:rPr>
        <w:t>4.15 Compliance: Sanctions, Anti-Bribery and Forced Labour</w:t>
      </w:r>
    </w:p>
    <w:p w14:paraId="67730489" w14:textId="6667C8D3"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4.15.1 The Seller warrants and undertakes that it, its affiliates, its subcontractors and the supply chain for every component of the BESS comply, and will continue to comply throughout the Warranty Period, </w:t>
      </w:r>
      <w:r>
        <w:rPr>
          <w:rFonts w:asciiTheme="minorHAnsi" w:hAnsiTheme="minorHAnsi" w:cstheme="minorHAnsi"/>
          <w:szCs w:val="22"/>
        </w:rPr>
        <w:t xml:space="preserve">with (a) the sanctions, export control and anti-boycott laws of the European Union, the United Kingdom, the United States, the United Nations and the country of the </w:t>
      </w:r>
      <w:r>
        <w:rPr>
          <w:rFonts w:asciiTheme="minorHAnsi" w:hAnsiTheme="minorHAnsi" w:cstheme="minorHAnsi"/>
          <w:szCs w:val="22"/>
          <w:highlight w:val="yellow"/>
        </w:rPr>
        <w:t>Named Place of Destination</w:t>
      </w:r>
      <w:r>
        <w:rPr>
          <w:rFonts w:asciiTheme="minorHAnsi" w:hAnsiTheme="minorHAnsi" w:cstheme="minorHAnsi"/>
          <w:szCs w:val="22"/>
        </w:rPr>
        <w:t xml:space="preserve">, to the extent applicable to the relevant person, goods, transaction or activity, together with any additional contractual restriction listed in </w:t>
      </w:r>
      <w:r>
        <w:rPr>
          <w:rFonts w:asciiTheme="minorHAnsi" w:hAnsiTheme="minorHAnsi" w:cstheme="minorHAnsi"/>
          <w:szCs w:val="22"/>
          <w:highlight w:val="cyan"/>
        </w:rPr>
        <w:t>APPENDIX T</w:t>
      </w:r>
      <w:r>
        <w:rPr>
          <w:rFonts w:asciiTheme="minorHAnsi" w:hAnsiTheme="minorHAnsi" w:cstheme="minorHAnsi"/>
          <w:szCs w:val="22"/>
        </w:rPr>
        <w:t>; (b) all applicable anti-bribery</w:t>
      </w:r>
      <w:r>
        <w:rPr>
          <w:rFonts w:asciiTheme="minorHAnsi" w:hAnsiTheme="minorHAnsi" w:cstheme="minorHAnsi"/>
          <w:szCs w:val="22"/>
        </w:rPr>
        <w:t xml:space="preserve">, anti-corruption and anti-money-laundering laws; (c) all laws prohibiting forced, child or trafficked labour, including Regulation (EU) 2024/3015, and the ILO core conventions; and (d) the Buyer’s supplier code of conduct in </w:t>
      </w:r>
      <w:r>
        <w:rPr>
          <w:rFonts w:asciiTheme="minorHAnsi" w:hAnsiTheme="minorHAnsi" w:cstheme="minorHAnsi"/>
          <w:szCs w:val="22"/>
          <w:highlight w:val="cyan"/>
        </w:rPr>
        <w:t>APPENDIX T</w:t>
      </w:r>
      <w:r>
        <w:rPr>
          <w:rFonts w:asciiTheme="minorHAnsi" w:hAnsiTheme="minorHAnsi" w:cstheme="minorHAnsi"/>
          <w:szCs w:val="22"/>
        </w:rPr>
        <w:t>.</w:t>
      </w:r>
      <w:r>
        <w:rPr>
          <w:rFonts w:asciiTheme="minorHAnsi" w:hAnsiTheme="minorHAnsi" w:cstheme="minorHAnsi"/>
          <w:szCs w:val="22"/>
        </w:rPr>
        <w:t xml:space="preserve"> Any conflict between applicable laws shall be notified and resolved under Clause 4.12.1; nothing in this Clause requires a Party to act unlawfully.</w:t>
      </w:r>
    </w:p>
    <w:p w14:paraId="4281D89B"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lastRenderedPageBreak/>
        <w:t>4.15.2 The Seller shall maintain documented supply chain due diligence down to cathode and anode material level, deliver the evidence required by Clause 4.5 for each batch, and notify the Buyer immediately of any allegation, investigation, customs detention or enforcement action concerning its supply chain.</w:t>
      </w:r>
    </w:p>
    <w:p w14:paraId="0A5F8E2D"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4.15.3 The Buyer and its advisers may audit the compliance records, facilities and personnel of the Seller and its subcontractors on ten (10) Business Days’ notice, or without notice where there are reasonable grounds to suspect a breach. The cost of an audit that reveals a Material Breach is borne by the Seller.</w:t>
      </w:r>
    </w:p>
    <w:p w14:paraId="0EDDFBFD"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4.15.4 Any breach of this Clause, any customs detention of a shipment on sanctions or forced-labour grounds, or any listing of the Seller, a subcontractor or a cell supplier on a sanctions or forced-labour list is a Material Breach entitling the Buyer to reject the affected shipment, terminate under Clause 8.2 and recover all resulting losses, which are deemed direct losses outside the limit in Clause 14.1.1.</w:t>
      </w:r>
    </w:p>
    <w:p w14:paraId="7518CFC1" w14:textId="77777777" w:rsidR="009E333E" w:rsidRDefault="00000000">
      <w:pPr>
        <w:pStyle w:val="Heading2"/>
        <w:spacing w:before="200" w:after="80"/>
        <w:ind w:left="360"/>
        <w:rPr>
          <w:rFonts w:asciiTheme="minorHAnsi" w:hAnsiTheme="minorHAnsi" w:cstheme="minorHAnsi"/>
          <w:szCs w:val="22"/>
        </w:rPr>
      </w:pPr>
      <w:r>
        <w:rPr>
          <w:rFonts w:asciiTheme="minorHAnsi" w:hAnsiTheme="minorHAnsi" w:cstheme="minorHAnsi"/>
          <w:szCs w:val="22"/>
        </w:rPr>
        <w:t>4.16 Environmental Compliance and Hazardous Materials</w:t>
      </w:r>
    </w:p>
    <w:p w14:paraId="53E71DD1"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The Seller shall perform its obligations in accordance with all applicable environmental laws and Good Industry Practice, apply best available techniques to minimise emissions and discharges in manufacture and on Site, handle, store, transport and dispose of all hazardous materials (including cells, electrolyte and extinguishing media) safely and lawfully, promptly notify and remediate any contamination it causes, and maintain environmental compliance records available for audit by the Buyer on request.</w:t>
      </w:r>
    </w:p>
    <w:p w14:paraId="646FBAC2" w14:textId="77777777" w:rsidR="009E333E" w:rsidRDefault="00000000">
      <w:pPr>
        <w:pStyle w:val="Heading2"/>
        <w:spacing w:before="200" w:after="80"/>
        <w:ind w:left="360"/>
        <w:rPr>
          <w:rFonts w:asciiTheme="minorHAnsi" w:hAnsiTheme="minorHAnsi" w:cstheme="minorHAnsi"/>
          <w:szCs w:val="22"/>
        </w:rPr>
      </w:pPr>
      <w:r>
        <w:rPr>
          <w:rFonts w:asciiTheme="minorHAnsi" w:hAnsiTheme="minorHAnsi" w:cstheme="minorHAnsi"/>
          <w:szCs w:val="22"/>
        </w:rPr>
        <w:t>4.17 Fixed Price and Sufficiency</w:t>
      </w:r>
    </w:p>
    <w:p w14:paraId="2D5C8A88"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The Contract Price is fixed and firm, is not subject to indexation or adjustment for changes in the cost of lithium carbonate, cells, components, labour, freight, duties, exchange rates or any other input, and includes everything necessary for the design, manufacture, testing, packing, transport, delivery, commissioning support, documentation, training, Software, spare parts listed in </w:t>
      </w:r>
      <w:r>
        <w:rPr>
          <w:rFonts w:asciiTheme="minorHAnsi" w:hAnsiTheme="minorHAnsi" w:cstheme="minorHAnsi"/>
          <w:szCs w:val="22"/>
          <w:highlight w:val="cyan"/>
        </w:rPr>
        <w:t>APPENDIX P</w:t>
      </w:r>
      <w:r>
        <w:rPr>
          <w:rFonts w:asciiTheme="minorHAnsi" w:hAnsiTheme="minorHAnsi" w:cstheme="minorHAnsi"/>
          <w:szCs w:val="22"/>
        </w:rPr>
        <w:t xml:space="preserve"> and warranty obligations under this Agreement, whether or not expressly mentioned. The Seller confirms that it has satisfied itself as to all conditions affecting its performance and the sufficiency of the Contract Price.</w:t>
      </w:r>
    </w:p>
    <w:p w14:paraId="523B4604" w14:textId="77777777" w:rsidR="009E333E" w:rsidRDefault="00000000">
      <w:pPr>
        <w:pStyle w:val="Heading1"/>
        <w:spacing w:after="120"/>
        <w:jc w:val="left"/>
        <w:rPr>
          <w:rFonts w:asciiTheme="minorHAnsi" w:hAnsiTheme="minorHAnsi" w:cstheme="minorHAnsi"/>
          <w:szCs w:val="22"/>
        </w:rPr>
      </w:pPr>
      <w:bookmarkStart w:id="6" w:name="_Toc242471395"/>
      <w:r>
        <w:rPr>
          <w:rFonts w:asciiTheme="minorHAnsi" w:hAnsiTheme="minorHAnsi" w:cstheme="minorHAnsi"/>
          <w:szCs w:val="22"/>
        </w:rPr>
        <w:t>5. Factory Inspection, Packaging, Shipping and Delivery</w:t>
      </w:r>
      <w:bookmarkEnd w:id="6"/>
    </w:p>
    <w:p w14:paraId="46F9F3A6" w14:textId="77777777" w:rsidR="009E333E" w:rsidRDefault="00000000">
      <w:pPr>
        <w:pStyle w:val="Heading2"/>
        <w:spacing w:before="200" w:after="80"/>
        <w:ind w:left="360"/>
        <w:rPr>
          <w:rFonts w:asciiTheme="minorHAnsi" w:hAnsiTheme="minorHAnsi" w:cstheme="minorHAnsi"/>
          <w:szCs w:val="22"/>
        </w:rPr>
      </w:pPr>
      <w:r>
        <w:rPr>
          <w:rFonts w:asciiTheme="minorHAnsi" w:hAnsiTheme="minorHAnsi" w:cstheme="minorHAnsi"/>
          <w:szCs w:val="22"/>
        </w:rPr>
        <w:t>5.1 Factory Inspection and Factory Acceptance Testing</w:t>
      </w:r>
    </w:p>
    <w:p w14:paraId="7E050C3B"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5.1.1 The Seller shall notify the Buyer and the Selected Third-Party in writing at least ten (10) Business Days prior to the start of production of each batch of BESS, and of each hold and witness point in the inspection and test plan agreed under </w:t>
      </w:r>
      <w:r>
        <w:rPr>
          <w:rFonts w:asciiTheme="minorHAnsi" w:hAnsiTheme="minorHAnsi" w:cstheme="minorHAnsi"/>
          <w:szCs w:val="22"/>
          <w:highlight w:val="cyan"/>
        </w:rPr>
        <w:t>APPENDIX F</w:t>
      </w:r>
      <w:r>
        <w:rPr>
          <w:rFonts w:asciiTheme="minorHAnsi" w:hAnsiTheme="minorHAnsi" w:cstheme="minorHAnsi"/>
          <w:szCs w:val="22"/>
        </w:rPr>
        <w:t>, and shall provide a detailed production schedule including key milestones.</w:t>
      </w:r>
    </w:p>
    <w:p w14:paraId="22B326FA"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5.1.2 The Buyer and the Selected Third-Party shall have full and immediate access to the Seller’s factory and warehouse (including primary materials), including inbound, storage and outbound documentation as well as standard operating procedures and climate control records. For the workshops and production lines, all standard operating procedures (SOPs) for production equipment shall be made available to the Buyer, its agents and the Selected Third-Party during any pre-shipping on-site inspection or factory audit. Documentation shall be made available to the Buyer, its agents and the Selected Third-Party for inspection and quality control during the production of the BESS.</w:t>
      </w:r>
      <w:r>
        <w:rPr>
          <w:rFonts w:asciiTheme="minorHAnsi" w:hAnsiTheme="minorHAnsi" w:cstheme="minorHAnsi"/>
          <w:szCs w:val="22"/>
        </w:rPr>
        <w:t xml:space="preserve"> Controlled copies or redactions of SOPs are permitted only as provided in </w:t>
      </w:r>
      <w:r>
        <w:rPr>
          <w:rFonts w:asciiTheme="minorHAnsi" w:hAnsiTheme="minorHAnsi" w:cstheme="minorHAnsi"/>
          <w:szCs w:val="22"/>
          <w:highlight w:val="cyan"/>
        </w:rPr>
        <w:lastRenderedPageBreak/>
        <w:t>APPENDIX F</w:t>
      </w:r>
      <w:r>
        <w:rPr>
          <w:rFonts w:asciiTheme="minorHAnsi" w:hAnsiTheme="minorHAnsi" w:cstheme="minorHAnsi"/>
          <w:szCs w:val="22"/>
        </w:rPr>
        <w:t xml:space="preserve"> section 6 and shall not conceal information needed to verify compliance with this Agreement.</w:t>
      </w:r>
    </w:p>
    <w:p w14:paraId="4DEAFBBE"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5.1.3 In line with </w:t>
      </w:r>
      <w:r>
        <w:rPr>
          <w:rFonts w:asciiTheme="minorHAnsi" w:hAnsiTheme="minorHAnsi" w:cstheme="minorHAnsi"/>
          <w:szCs w:val="22"/>
          <w:highlight w:val="cyan"/>
        </w:rPr>
        <w:t>APPENDIX F</w:t>
      </w:r>
      <w:r>
        <w:rPr>
          <w:rFonts w:asciiTheme="minorHAnsi" w:hAnsiTheme="minorHAnsi" w:cstheme="minorHAnsi"/>
          <w:szCs w:val="22"/>
        </w:rPr>
        <w:t xml:space="preserve"> (Factory Acceptance Testing), </w:t>
      </w:r>
      <w:r>
        <w:rPr>
          <w:rFonts w:asciiTheme="minorHAnsi" w:hAnsiTheme="minorHAnsi" w:cstheme="minorHAnsi"/>
          <w:szCs w:val="22"/>
          <w:highlight w:val="cyan"/>
        </w:rPr>
        <w:t>APPENDIX H</w:t>
      </w:r>
      <w:r>
        <w:rPr>
          <w:rFonts w:asciiTheme="minorHAnsi" w:hAnsiTheme="minorHAnsi" w:cstheme="minorHAnsi"/>
          <w:szCs w:val="22"/>
        </w:rPr>
        <w:t xml:space="preserve"> (BESS Quality Standards) and </w:t>
      </w:r>
      <w:r>
        <w:rPr>
          <w:rFonts w:asciiTheme="minorHAnsi" w:hAnsiTheme="minorHAnsi" w:cstheme="minorHAnsi"/>
          <w:szCs w:val="22"/>
          <w:highlight w:val="cyan"/>
        </w:rPr>
        <w:t>APPENDIX O</w:t>
      </w:r>
      <w:r>
        <w:rPr>
          <w:rFonts w:asciiTheme="minorHAnsi" w:hAnsiTheme="minorHAnsi" w:cstheme="minorHAnsi"/>
          <w:szCs w:val="22"/>
        </w:rPr>
        <w:t xml:space="preserve"> (Battery Cell Laboratory Testing), the Buyer and the Selected Third-Party may inspect all manufacturing facilities, factory locations, processes, materials, production data and quality management systems used to manufacture and ship the BESS under this Agreement (provided that any such inspection shall not materially interfere with the manufacturing process or cause any material delay to the supply of BESS). The Seller shall arrange such inspection, upon request of the Buyer or the Selected Third-Party, at any location where manufacturing or shipping procedures are being or were performed, where BESS or their components are being or were built, or where BESS are being stored.</w:t>
      </w:r>
    </w:p>
    <w:p w14:paraId="4AC88755"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5.1.4 Every container, battery rack and battery module supplied under this Agreement shall undergo (a) the Seller’s end-of-line testing and (b) the Factory Acceptance Testing programme of </w:t>
      </w:r>
      <w:r>
        <w:rPr>
          <w:rFonts w:asciiTheme="minorHAnsi" w:hAnsiTheme="minorHAnsi" w:cstheme="minorHAnsi"/>
          <w:szCs w:val="22"/>
          <w:highlight w:val="cyan"/>
        </w:rPr>
        <w:t>APPENDIX F</w:t>
      </w:r>
      <w:r>
        <w:rPr>
          <w:rFonts w:asciiTheme="minorHAnsi" w:hAnsiTheme="minorHAnsi" w:cstheme="minorHAnsi"/>
          <w:szCs w:val="22"/>
        </w:rPr>
        <w:t xml:space="preserve"> before shipment, without sampling. End-of-line testing is the Seller’s internal production test; the FAT is the contractual acceptance test, recorded, reported and witnessed in accordance with this Agreement. The FAT may use the same test sequence as the end-of-line test, but the end-of-line test does not replace the FAT and a unit is only deemed tested when the FAT data of Clause 5.1.8 has been delivered.</w:t>
      </w:r>
    </w:p>
    <w:p w14:paraId="09FCA385"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5.1.5 Witnessing by the Selected Third-Party. For projects of fewer than twenty (20) containers, the Selected Third-Party witnesses the FAT of 100% of the containers. For larger projects, the Parties may agree in </w:t>
      </w:r>
      <w:r>
        <w:rPr>
          <w:rFonts w:asciiTheme="minorHAnsi" w:hAnsiTheme="minorHAnsi" w:cstheme="minorHAnsi"/>
          <w:szCs w:val="22"/>
          <w:highlight w:val="cyan"/>
        </w:rPr>
        <w:t>APPENDIX F</w:t>
      </w:r>
      <w:r>
        <w:rPr>
          <w:rFonts w:asciiTheme="minorHAnsi" w:hAnsiTheme="minorHAnsi" w:cstheme="minorHAnsi"/>
          <w:szCs w:val="22"/>
        </w:rPr>
        <w:t xml:space="preserve"> to reduce the witnessed FAT to not less than thirty per cent (30%) of the containers, selected by the Selected Third-Party, provided that (i) all containers are tested, (ii) the Selected Third-Party performs production monitoring under Clause 5.1.2 throughout production, and (iii) the test data of all containers, witnessed or not, is delivered under Clause 5.1.8.</w:t>
      </w:r>
    </w:p>
    <w:p w14:paraId="3C19DE6A"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5.1.6 Battery Analytics Solutions coverage. Every container shall be analysed under the Battery Analytics Solutions, either from the raw data of its capacity test at FAT or, for a container on which no capacity test is performed at FAT, from the data of its energisation and commissioning on Site in accordance with </w:t>
      </w:r>
      <w:r>
        <w:rPr>
          <w:rFonts w:asciiTheme="minorHAnsi" w:hAnsiTheme="minorHAnsi" w:cstheme="minorHAnsi"/>
          <w:szCs w:val="22"/>
          <w:highlight w:val="cyan"/>
        </w:rPr>
        <w:t>APPENDIX M</w:t>
      </w:r>
      <w:r>
        <w:rPr>
          <w:rFonts w:asciiTheme="minorHAnsi" w:hAnsiTheme="minorHAnsi" w:cstheme="minorHAnsi"/>
          <w:szCs w:val="22"/>
        </w:rPr>
        <w:t xml:space="preserve">. The share of containers capacity-tested at FAT is stated in </w:t>
      </w:r>
      <w:r>
        <w:rPr>
          <w:rFonts w:asciiTheme="minorHAnsi" w:hAnsiTheme="minorHAnsi" w:cstheme="minorHAnsi"/>
          <w:szCs w:val="22"/>
          <w:highlight w:val="cyan"/>
        </w:rPr>
        <w:t>APPENDIX F</w:t>
      </w:r>
      <w:r>
        <w:rPr>
          <w:rFonts w:asciiTheme="minorHAnsi" w:hAnsiTheme="minorHAnsi" w:cstheme="minorHAnsi"/>
          <w:szCs w:val="22"/>
        </w:rPr>
        <w:t xml:space="preserve"> and shall not be less than </w:t>
      </w:r>
      <w:r>
        <w:rPr>
          <w:rFonts w:asciiTheme="minorHAnsi" w:hAnsiTheme="minorHAnsi" w:cstheme="minorHAnsi"/>
          <w:szCs w:val="22"/>
          <w:highlight w:val="yellow"/>
        </w:rPr>
        <w:t>[●]</w:t>
      </w:r>
      <w:r>
        <w:rPr>
          <w:rFonts w:asciiTheme="minorHAnsi" w:hAnsiTheme="minorHAnsi" w:cstheme="minorHAnsi"/>
          <w:szCs w:val="22"/>
        </w:rPr>
        <w:t>%.</w:t>
      </w:r>
      <w:r>
        <w:rPr>
          <w:rFonts w:asciiTheme="minorHAnsi" w:hAnsiTheme="minorHAnsi" w:cstheme="minorHAnsi"/>
          <w:szCs w:val="22"/>
        </w:rPr>
        <w:t xml:space="preserve"> </w:t>
      </w:r>
      <w:r>
        <w:rPr>
          <w:rFonts w:asciiTheme="minorHAnsi" w:hAnsiTheme="minorHAnsi" w:cstheme="minorHAnsi"/>
          <w:szCs w:val="22"/>
          <w:highlight w:val="cyan"/>
        </w:rPr>
        <w:t>APPENDIX F</w:t>
      </w:r>
      <w:r>
        <w:rPr>
          <w:rFonts w:asciiTheme="minorHAnsi" w:hAnsiTheme="minorHAnsi" w:cstheme="minorHAnsi"/>
          <w:szCs w:val="22"/>
        </w:rPr>
        <w:t xml:space="preserve"> identifies separately the tests performed on every unit, the share of containers capacity-tested at FAT and the share of containers witnessed. A container may defer its capacity test and the associated Battery Analytics Solutions analysis to Site only if it is identified for that purpose in </w:t>
      </w:r>
      <w:r>
        <w:rPr>
          <w:rFonts w:asciiTheme="minorHAnsi" w:hAnsiTheme="minorHAnsi" w:cstheme="minorHAnsi"/>
          <w:szCs w:val="22"/>
          <w:highlight w:val="cyan"/>
        </w:rPr>
        <w:t>APPENDIX F</w:t>
      </w:r>
      <w:r>
        <w:rPr>
          <w:rFonts w:asciiTheme="minorHAnsi" w:hAnsiTheme="minorHAnsi" w:cstheme="minorHAnsi"/>
          <w:szCs w:val="22"/>
        </w:rPr>
        <w:t xml:space="preserve"> before the Notice to Proceed to Manufacture; for such a container, completion of the deferred activities is a condition of Site Acceptance rather than of shipment release, and all other FAT and data requirements continue to apply.</w:t>
      </w:r>
    </w:p>
    <w:p w14:paraId="47764BB8"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i/>
          <w:iCs/>
          <w:color w:val="1F4E79"/>
          <w:szCs w:val="22"/>
          <w:highlight w:val="green"/>
        </w:rPr>
        <w:t>Note for ESCA readers: the higher the share of containers capacity-tested at FAT, the better. A non-conformance found at the factory is corrected before shipment at the Seller’s cost; the same defect found at energisation on Site means a return shipment, a delayed commissioning and a dispute over who pays. 100% capacity testing at FAT is the recommended position; 30% witnessed FAT with 100% testing and production monitoring is an acceptable fallback for large projects.</w:t>
      </w:r>
    </w:p>
    <w:p w14:paraId="2043A910"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5.1.7 The Seller shall give the Buyer and the Selected Third-Party not less than fourteen (14) calendar days’ written notice of the start of the FAT of each batch, with the FAT schedule, the serial numbers to be tested and the test facility details, and shall deliver the sample raw data and other Required Inputs under </w:t>
      </w:r>
      <w:r>
        <w:rPr>
          <w:rFonts w:asciiTheme="minorHAnsi" w:hAnsiTheme="minorHAnsi" w:cstheme="minorHAnsi"/>
          <w:szCs w:val="22"/>
          <w:highlight w:val="cyan"/>
        </w:rPr>
        <w:t>APPENDIX M</w:t>
      </w:r>
      <w:r>
        <w:rPr>
          <w:rFonts w:asciiTheme="minorHAnsi" w:hAnsiTheme="minorHAnsi" w:cstheme="minorHAnsi"/>
          <w:szCs w:val="22"/>
        </w:rPr>
        <w:t xml:space="preserve"> not less than thirty (30) calendar days before the start </w:t>
      </w:r>
      <w:r>
        <w:rPr>
          <w:rFonts w:asciiTheme="minorHAnsi" w:hAnsiTheme="minorHAnsi" w:cstheme="minorHAnsi"/>
          <w:szCs w:val="22"/>
        </w:rPr>
        <w:lastRenderedPageBreak/>
        <w:t>of the first FAT. The test facility shall be capable of charging and discharging each container at its rated power for the full test duty cycle through a grid connection or load bank and shall provide a clean, weather-protected test area within the manufacturer’s operating range. No container shall be shipped earlier than fourteen (14) calendar days after completion of its FAT, nor before all non-conformances raised at FAT have been closed under Clause 5.1.10, unless the Buyer agrees otherwise in writing.</w:t>
      </w:r>
    </w:p>
    <w:p w14:paraId="5EB98EC5"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5.1.8 For every test performed under </w:t>
      </w:r>
      <w:r>
        <w:rPr>
          <w:rFonts w:asciiTheme="minorHAnsi" w:hAnsiTheme="minorHAnsi" w:cstheme="minorHAnsi"/>
          <w:szCs w:val="22"/>
          <w:highlight w:val="cyan"/>
        </w:rPr>
        <w:t>APPENDIX F</w:t>
      </w:r>
      <w:r>
        <w:rPr>
          <w:rFonts w:asciiTheme="minorHAnsi" w:hAnsiTheme="minorHAnsi" w:cstheme="minorHAnsi"/>
          <w:szCs w:val="22"/>
        </w:rPr>
        <w:t xml:space="preserve"> the Seller shall record, from at least one minute before the start of the test to its end and at a resolution of one (1) second: the power setpoint and actual power, the system SOC, total DC voltage, DC current, every individual cell voltage and every cell temperature sensor reading, the highest and lowest module and rack voltages and temperatures, all alarms and warnings, and the PCS and BMS event logs. The Seller shall deliver this raw data in the format required by </w:t>
      </w:r>
      <w:r>
        <w:rPr>
          <w:rFonts w:asciiTheme="minorHAnsi" w:hAnsiTheme="minorHAnsi" w:cstheme="minorHAnsi"/>
          <w:szCs w:val="22"/>
          <w:highlight w:val="cyan"/>
        </w:rPr>
        <w:t>APPENDIX M</w:t>
      </w:r>
      <w:r>
        <w:rPr>
          <w:rFonts w:asciiTheme="minorHAnsi" w:hAnsiTheme="minorHAnsi" w:cstheme="minorHAnsi"/>
          <w:szCs w:val="22"/>
        </w:rPr>
        <w:t xml:space="preserve"> to the Buyer and the Selected Third-Party within twenty-four (24) hours of completion of each test, without charge and without restriction on its use by the Buyer or any third party it nominates, together with all test certificates, performance curves, calibration documents and data sheets requested by the Buyer or the Selected Third-Party during production and until shipment. The Seller shall record and report the SOC of each container, rack and module at the time of shipment. Failure to deliver complete raw data within the deadline shall be treated as a failed FAT for the units concerned.</w:t>
      </w:r>
    </w:p>
    <w:p w14:paraId="0FA7121B"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5.1.9 A container, rack or module fails the FAT if (a) any measured value falls outside the limits stated in </w:t>
      </w:r>
      <w:r>
        <w:rPr>
          <w:rFonts w:asciiTheme="minorHAnsi" w:hAnsiTheme="minorHAnsi" w:cstheme="minorHAnsi"/>
          <w:szCs w:val="22"/>
          <w:highlight w:val="cyan"/>
        </w:rPr>
        <w:t>APPENDIX F</w:t>
      </w:r>
      <w:r>
        <w:rPr>
          <w:rFonts w:asciiTheme="minorHAnsi" w:hAnsiTheme="minorHAnsi" w:cstheme="minorHAnsi"/>
          <w:szCs w:val="22"/>
        </w:rPr>
        <w:t xml:space="preserve"> or </w:t>
      </w:r>
      <w:r>
        <w:rPr>
          <w:rFonts w:asciiTheme="minorHAnsi" w:hAnsiTheme="minorHAnsi" w:cstheme="minorHAnsi"/>
          <w:szCs w:val="22"/>
          <w:highlight w:val="cyan"/>
        </w:rPr>
        <w:t>APPENDICES B to E</w:t>
      </w:r>
      <w:r>
        <w:rPr>
          <w:rFonts w:asciiTheme="minorHAnsi" w:hAnsiTheme="minorHAnsi" w:cstheme="minorHAnsi"/>
          <w:szCs w:val="22"/>
        </w:rPr>
        <w:t xml:space="preserve">, (b) any alarm, warning or protective trip is raised by the BMS, PCS, EMS, HVAC or fire detection system during a test sequence, other than a trip the test is designed to provoke, (c) the Battery Analytics Solutions identify a non-conformance under </w:t>
      </w:r>
      <w:r>
        <w:rPr>
          <w:rFonts w:asciiTheme="minorHAnsi" w:hAnsiTheme="minorHAnsi" w:cstheme="minorHAnsi"/>
          <w:szCs w:val="22"/>
          <w:highlight w:val="cyan"/>
        </w:rPr>
        <w:t>APPENDIX M</w:t>
      </w:r>
      <w:r>
        <w:rPr>
          <w:rFonts w:asciiTheme="minorHAnsi" w:hAnsiTheme="minorHAnsi" w:cstheme="minorHAnsi"/>
          <w:szCs w:val="22"/>
        </w:rPr>
        <w:t>, or (d) the Seller fails to record or deliver the data required under Clause 5.1.8. The Seller shall disclose in writing to the Selected Third-Party, before the end of each test day, every abnormality, rework, parameter change, firmware change or component replacement performed on any unit during or after its FAT. Undisclosed rework discovered later entitles the Buyer to reject the unit.</w:t>
      </w:r>
    </w:p>
    <w:p w14:paraId="176E56ED"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5.1.10 The Selected Third-Party may issue a non-conformance report (“NCR”) for any failure under Clause 5.1.9 or any departure from the Specification. Within five (5) Business Days of an NCR the Seller shall submit a root cause analysis and a corrective action plan. Units subject to an open NCR shall not be shipped. After correction the affected tests shall be repeated in full in the presence of the Selected Third-Party. All costs of correction, re-testing and of the Selected Third-Party’s repeat attendance, including travel, are borne by the Seller. Where the same non-conformance recurs on more than five per cent (5%) of the units of a batch, the Buyer may require the whole batch to be re-tested at the Seller’s cost. The Buyer may require the Seller to replace, at the Seller’s cost, every unit that fails any item of the agreed FAT checklist or is rejected on the basis of the Battery Analytics Solutions.</w:t>
      </w:r>
    </w:p>
    <w:p w14:paraId="7F096FA7" w14:textId="57266643"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5.1.11 No BESS shall be shipped before the Buyer has issued a written shipment release for the batch concerned. The Buyer shall issue the release within five (5) Business Days of receiving from the Selected Third-Party a FAT pass certificate confirming that all units in the batch </w:t>
      </w:r>
      <w:r>
        <w:rPr>
          <w:rFonts w:asciiTheme="minorHAnsi" w:hAnsiTheme="minorHAnsi" w:cstheme="minorHAnsi"/>
          <w:szCs w:val="22"/>
        </w:rPr>
        <w:t>have passed the FAT and, to the extent required at FAT under Clause 5.1.6, the Battery Analytics Solutions quality control</w:t>
      </w:r>
      <w:r>
        <w:rPr>
          <w:rFonts w:asciiTheme="minorHAnsi" w:hAnsiTheme="minorHAnsi" w:cstheme="minorHAnsi"/>
          <w:szCs w:val="22"/>
        </w:rPr>
        <w:t xml:space="preserve">, that all NCRs are closed, that the traceability review has been passed, </w:t>
      </w:r>
      <w:r>
        <w:rPr>
          <w:rFonts w:asciiTheme="minorHAnsi" w:hAnsiTheme="minorHAnsi" w:cstheme="minorHAnsi"/>
          <w:szCs w:val="22"/>
        </w:rPr>
        <w:t xml:space="preserve">that the packaging inspection and loading-plan review have been completed, that the final loading inspection is scheduled as a hold point before dispatch, and that the raw data and as-built register under Clauses 5.1.8 and 4.5.3 have been received. The release is conditional on a satisfactory final loading inspection; the final loading records shall be delivered before dispatch and the transport </w:t>
      </w:r>
      <w:r>
        <w:rPr>
          <w:rFonts w:asciiTheme="minorHAnsi" w:hAnsiTheme="minorHAnsi" w:cstheme="minorHAnsi"/>
          <w:szCs w:val="22"/>
        </w:rPr>
        <w:lastRenderedPageBreak/>
        <w:t>records generated in transit shall be delivered on unloading.</w:t>
      </w:r>
      <w:r>
        <w:rPr>
          <w:rFonts w:asciiTheme="minorHAnsi" w:hAnsiTheme="minorHAnsi" w:cstheme="minorHAnsi"/>
          <w:szCs w:val="22"/>
        </w:rPr>
        <w:t xml:space="preserve"> Shipment without release is a Material Breach; the Buyer may refuse Delivery and return the units at the Seller’s cost. Rectification and re-inspection following a failed test or missing data give no extension of time.</w:t>
      </w:r>
    </w:p>
    <w:p w14:paraId="280D444B"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5.1.12 All instruments used in any FAT or SAT, including energy meters, current and voltage transducers, data acquisition systems, insulation testers, thermometers and coating thickness gauges, shall hold a valid calibration certificate traceable to national standards at the date of the test. Energy and power measurements used to determine capacity, power and round-trip efficiency shall use meters of accuracy class 0.5S or better, or the stricter class stated in </w:t>
      </w:r>
      <w:r>
        <w:rPr>
          <w:rFonts w:asciiTheme="minorHAnsi" w:hAnsiTheme="minorHAnsi" w:cstheme="minorHAnsi"/>
          <w:szCs w:val="22"/>
          <w:highlight w:val="cyan"/>
        </w:rPr>
        <w:t>APPENDIX F</w:t>
      </w:r>
      <w:r>
        <w:rPr>
          <w:rFonts w:asciiTheme="minorHAnsi" w:hAnsiTheme="minorHAnsi" w:cstheme="minorHAnsi"/>
          <w:szCs w:val="22"/>
        </w:rPr>
        <w:t>. Calibration certificates and instrument serial numbers shall be provided to the Selected Third-Party before each test and recorded in the test report. Results obtained with uncalibrated or out-of-class instruments shall be disregarded and the test repeated at the Seller’s cost.</w:t>
      </w:r>
    </w:p>
    <w:p w14:paraId="2001B702" w14:textId="179DF249"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5.1.13 Not later than two (2) months before the scheduled start of the first FAT, the Selected Third-Party shall randomly select, at the Seller’s premises or designated warehouse and before the cells are used for pack manufacturing, twenty (20) cells (plus five (5) spare cells) from the cell batch allocated to the Buyer’s BESS. The Seller shall deliver the selected cells free of charge, DDP, to the ISO/IEC 17025 accredited laboratory nominated by the Buyer within seven (7) days of selection, together with the cell batch records, and shall do the same for each subsequent cell batch on request. The cells are tested in accordance with </w:t>
      </w:r>
      <w:r>
        <w:rPr>
          <w:rFonts w:asciiTheme="minorHAnsi" w:hAnsiTheme="minorHAnsi" w:cstheme="minorHAnsi"/>
          <w:szCs w:val="22"/>
          <w:highlight w:val="cyan"/>
        </w:rPr>
        <w:t>APPENDIX O</w:t>
      </w:r>
      <w:r>
        <w:rPr>
          <w:rFonts w:asciiTheme="minorHAnsi" w:hAnsiTheme="minorHAnsi" w:cstheme="minorHAnsi"/>
          <w:szCs w:val="22"/>
        </w:rPr>
        <w:t xml:space="preserve">. Where any test under </w:t>
      </w:r>
      <w:r>
        <w:rPr>
          <w:rFonts w:asciiTheme="minorHAnsi" w:hAnsiTheme="minorHAnsi" w:cstheme="minorHAnsi"/>
          <w:szCs w:val="22"/>
          <w:highlight w:val="cyan"/>
        </w:rPr>
        <w:t>APPENDIX O</w:t>
      </w:r>
      <w:r>
        <w:rPr>
          <w:rFonts w:asciiTheme="minorHAnsi" w:hAnsiTheme="minorHAnsi" w:cstheme="minorHAnsi"/>
          <w:szCs w:val="22"/>
        </w:rPr>
        <w:t xml:space="preserve"> fails, </w:t>
      </w:r>
      <w:r>
        <w:rPr>
          <w:rFonts w:asciiTheme="minorHAnsi" w:hAnsiTheme="minorHAnsi" w:cstheme="minorHAnsi"/>
          <w:szCs w:val="22"/>
        </w:rPr>
        <w:t xml:space="preserve">or a measured capacity, internal resistance or cycling degradation result reported under </w:t>
      </w:r>
      <w:r>
        <w:rPr>
          <w:rFonts w:asciiTheme="minorHAnsi" w:hAnsiTheme="minorHAnsi" w:cstheme="minorHAnsi"/>
          <w:szCs w:val="22"/>
          <w:highlight w:val="cyan"/>
        </w:rPr>
        <w:t>APPENDIX O</w:t>
      </w:r>
      <w:r>
        <w:rPr>
          <w:rFonts w:asciiTheme="minorHAnsi" w:hAnsiTheme="minorHAnsi" w:cstheme="minorHAnsi"/>
          <w:szCs w:val="22"/>
        </w:rPr>
        <w:t xml:space="preserve"> deviates from the warranted cell curves beyond the tolerance stated there,</w:t>
      </w:r>
      <w:r>
        <w:rPr>
          <w:rFonts w:asciiTheme="minorHAnsi" w:hAnsiTheme="minorHAnsi" w:cstheme="minorHAnsi"/>
          <w:szCs w:val="22"/>
        </w:rPr>
        <w:t xml:space="preserve"> the Buyer may suspend shipment of the affected batch pending root cause analysis and exercise the remedies in </w:t>
      </w:r>
      <w:r>
        <w:rPr>
          <w:rFonts w:asciiTheme="minorHAnsi" w:hAnsiTheme="minorHAnsi" w:cstheme="minorHAnsi"/>
          <w:szCs w:val="22"/>
          <w:highlight w:val="cyan"/>
        </w:rPr>
        <w:t>APPENDIX O</w:t>
      </w:r>
      <w:r>
        <w:rPr>
          <w:rFonts w:asciiTheme="minorHAnsi" w:hAnsiTheme="minorHAnsi" w:cstheme="minorHAnsi"/>
          <w:szCs w:val="22"/>
        </w:rPr>
        <w:t>, and the deviation is presumed to affect all units built from that cell batch unless the Seller demonstrates otherwise.</w:t>
      </w:r>
    </w:p>
    <w:p w14:paraId="7CD67F52"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5.1.14 Every FAT, SAT and commissioning report shall: (a) carry a document number, revision number, date and change history; (b) reference for each test section the applicable standard, drawing or procedure and the contractual pass and fail criteria; (c) record the ambient conditions, initial settings and configuration before each test; (d) list each instrument used with its serial number, calibration date and next calibration due date; (e) record measured values against upper and lower limits with legible photographs or data extracts; (f) contain a deviations section recording and justifying any departure from the test procedure, approved in writing by the Selected Third-Party; (g) contain a non-conformance and punch list with closure dates; and (h) be signed per test section by the Seller’s responsible tester and countersigned by the Selected Third-Party where witnessed. Reports not meeting these requirements shall not be accepted as evidence that a test has been passed.</w:t>
      </w:r>
    </w:p>
    <w:p w14:paraId="4BDF6473" w14:textId="77777777" w:rsidR="009E333E" w:rsidRDefault="00000000">
      <w:pPr>
        <w:pStyle w:val="Heading2"/>
        <w:spacing w:before="200" w:after="80"/>
        <w:ind w:left="360"/>
        <w:rPr>
          <w:rFonts w:asciiTheme="minorHAnsi" w:hAnsiTheme="minorHAnsi" w:cstheme="minorHAnsi"/>
          <w:szCs w:val="22"/>
        </w:rPr>
      </w:pPr>
      <w:r>
        <w:rPr>
          <w:rFonts w:asciiTheme="minorHAnsi" w:hAnsiTheme="minorHAnsi" w:cstheme="minorHAnsi"/>
          <w:szCs w:val="22"/>
        </w:rPr>
        <w:t>5.2 Shipment Preparation, Packing and Transport</w:t>
      </w:r>
    </w:p>
    <w:p w14:paraId="541D6CC3"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5.2.1 The Seller shall prepare, pack, load and ship the BESS in accordance with </w:t>
      </w:r>
      <w:r>
        <w:rPr>
          <w:rFonts w:asciiTheme="minorHAnsi" w:hAnsiTheme="minorHAnsi" w:cstheme="minorHAnsi"/>
          <w:szCs w:val="22"/>
          <w:highlight w:val="cyan"/>
        </w:rPr>
        <w:t>APPENDIX U</w:t>
      </w:r>
      <w:r>
        <w:rPr>
          <w:rFonts w:asciiTheme="minorHAnsi" w:hAnsiTheme="minorHAnsi" w:cstheme="minorHAnsi"/>
          <w:szCs w:val="22"/>
        </w:rPr>
        <w:t xml:space="preserve"> (Packing, Transport and Storage), which forms an integral part of this Agreement, the IMDG Code and other applicable transport regulations, Good Industry Practice and the requirements of the carrier and the cargo insurer. The Seller is solely responsible for shipment preparation, packing, securing and lashing, and for the selection and instruction of its forwarder and carrier, whose acts and omissions are the Seller’s acts and omissions where the Seller is responsible for carriage under the applicable Incoterm; the Seller is liable for all loss, damage and expense resulting from inadequate shipment preparation.</w:t>
      </w:r>
    </w:p>
    <w:p w14:paraId="07E25EA4" w14:textId="2164A201"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5.2.2 Shipment SOC and storage. Before shipment the Seller shall bring every battery module to the shipment SOC stated in </w:t>
      </w:r>
      <w:r>
        <w:rPr>
          <w:rFonts w:asciiTheme="minorHAnsi" w:hAnsiTheme="minorHAnsi" w:cstheme="minorHAnsi"/>
          <w:szCs w:val="22"/>
          <w:highlight w:val="cyan"/>
        </w:rPr>
        <w:t>APPENDIX B</w:t>
      </w:r>
      <w:r>
        <w:rPr>
          <w:rFonts w:asciiTheme="minorHAnsi" w:hAnsiTheme="minorHAnsi" w:cstheme="minorHAnsi"/>
          <w:szCs w:val="22"/>
        </w:rPr>
        <w:t xml:space="preserve"> and shall state in </w:t>
      </w:r>
      <w:r>
        <w:rPr>
          <w:rFonts w:asciiTheme="minorHAnsi" w:hAnsiTheme="minorHAnsi" w:cstheme="minorHAnsi"/>
          <w:szCs w:val="22"/>
          <w:highlight w:val="cyan"/>
        </w:rPr>
        <w:t>APPENDIX B</w:t>
      </w:r>
      <w:r>
        <w:rPr>
          <w:rFonts w:asciiTheme="minorHAnsi" w:hAnsiTheme="minorHAnsi" w:cstheme="minorHAnsi"/>
          <w:szCs w:val="22"/>
        </w:rPr>
        <w:t xml:space="preserve"> the storage conditions and </w:t>
      </w:r>
      <w:r>
        <w:rPr>
          <w:rFonts w:asciiTheme="minorHAnsi" w:hAnsiTheme="minorHAnsi" w:cstheme="minorHAnsi"/>
          <w:szCs w:val="22"/>
        </w:rPr>
        <w:lastRenderedPageBreak/>
        <w:t xml:space="preserve">limits set out in </w:t>
      </w:r>
      <w:r>
        <w:rPr>
          <w:rFonts w:asciiTheme="minorHAnsi" w:hAnsiTheme="minorHAnsi" w:cstheme="minorHAnsi"/>
          <w:szCs w:val="22"/>
          <w:highlight w:val="cyan"/>
        </w:rPr>
        <w:t>APPENDIX U</w:t>
      </w:r>
      <w:r>
        <w:rPr>
          <w:rFonts w:asciiTheme="minorHAnsi" w:hAnsiTheme="minorHAnsi" w:cstheme="minorHAnsi"/>
          <w:szCs w:val="22"/>
        </w:rPr>
        <w:t xml:space="preserve">. Provided the Buyer stores the BESS within those limits, no storage period before commissioning shall reduce, suspend or exclude any warranty, </w:t>
      </w:r>
      <w:r>
        <w:rPr>
          <w:rFonts w:asciiTheme="minorHAnsi" w:hAnsiTheme="minorHAnsi" w:cstheme="minorHAnsi"/>
          <w:szCs w:val="22"/>
        </w:rPr>
        <w:t>and all warranty periods run from the Warranty Commencement Date determined under Clause 7.1.5.</w:t>
      </w:r>
    </w:p>
    <w:p w14:paraId="12557F57" w14:textId="2D6F4EB4"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5.2.3 Shipping documentation and transport monitoring. The Seller shall deliver the shipping documents listed in </w:t>
      </w:r>
      <w:r>
        <w:rPr>
          <w:rFonts w:asciiTheme="minorHAnsi" w:hAnsiTheme="minorHAnsi" w:cstheme="minorHAnsi"/>
          <w:szCs w:val="22"/>
          <w:highlight w:val="cyan"/>
        </w:rPr>
        <w:t>APPENDIX U</w:t>
      </w:r>
      <w:r>
        <w:rPr>
          <w:rFonts w:asciiTheme="minorHAnsi" w:hAnsiTheme="minorHAnsi" w:cstheme="minorHAnsi"/>
          <w:szCs w:val="22"/>
        </w:rPr>
        <w:t xml:space="preserve">, including the Manufacturer’s Declaration of Seaworthy Packing in the form set out in </w:t>
      </w:r>
      <w:r>
        <w:rPr>
          <w:rFonts w:asciiTheme="minorHAnsi" w:hAnsiTheme="minorHAnsi" w:cstheme="minorHAnsi"/>
          <w:szCs w:val="22"/>
          <w:highlight w:val="cyan"/>
        </w:rPr>
        <w:t>APPENDIX U</w:t>
      </w:r>
      <w:r>
        <w:rPr>
          <w:rFonts w:asciiTheme="minorHAnsi" w:hAnsiTheme="minorHAnsi" w:cstheme="minorHAnsi"/>
          <w:szCs w:val="22"/>
        </w:rPr>
        <w:t xml:space="preserve">, </w:t>
      </w:r>
      <w:r>
        <w:rPr>
          <w:rFonts w:asciiTheme="minorHAnsi" w:hAnsiTheme="minorHAnsi" w:cstheme="minorHAnsi"/>
          <w:szCs w:val="22"/>
        </w:rPr>
        <w:t>not later than ten (10) Business Days before shipment, except for documents that can only be generated at loading or in transit, which shall be delivered before dispatch or on unloading respectively; they are a condition of the shipment release under Clause 5.1.11.</w:t>
      </w:r>
      <w:r>
        <w:rPr>
          <w:rFonts w:asciiTheme="minorHAnsi" w:hAnsiTheme="minorHAnsi" w:cstheme="minorHAnsi"/>
          <w:szCs w:val="22"/>
        </w:rPr>
        <w:t xml:space="preserve"> Each container shall carry the transport data loggers required by </w:t>
      </w:r>
      <w:r>
        <w:rPr>
          <w:rFonts w:asciiTheme="minorHAnsi" w:hAnsiTheme="minorHAnsi" w:cstheme="minorHAnsi"/>
          <w:szCs w:val="22"/>
          <w:highlight w:val="cyan"/>
        </w:rPr>
        <w:t>APPENDIX U</w:t>
      </w:r>
      <w:r>
        <w:rPr>
          <w:rFonts w:asciiTheme="minorHAnsi" w:hAnsiTheme="minorHAnsi" w:cstheme="minorHAnsi"/>
          <w:szCs w:val="22"/>
        </w:rPr>
        <w:t xml:space="preserve">; any exceedance of the permitted transport values creates a presumption that the container has been damaged in transit, and the Seller shall at its own cost perform the basic functional tests of </w:t>
      </w:r>
      <w:r>
        <w:rPr>
          <w:rFonts w:asciiTheme="minorHAnsi" w:hAnsiTheme="minorHAnsi" w:cstheme="minorHAnsi"/>
          <w:szCs w:val="22"/>
          <w:highlight w:val="cyan"/>
        </w:rPr>
        <w:t>APPENDIX J</w:t>
      </w:r>
      <w:r>
        <w:rPr>
          <w:rFonts w:asciiTheme="minorHAnsi" w:hAnsiTheme="minorHAnsi" w:cstheme="minorHAnsi"/>
          <w:szCs w:val="22"/>
        </w:rPr>
        <w:t xml:space="preserve"> on the affected units before the Buyer is required to accept them. Any loss or damage attributable to packing that does not meet the Declaration is at the Seller’s risk notwithstanding any transfer of risk under the Incoterm.</w:t>
      </w:r>
    </w:p>
    <w:p w14:paraId="7502E433" w14:textId="77777777" w:rsidR="009E333E" w:rsidRDefault="00000000">
      <w:pPr>
        <w:pStyle w:val="Heading2"/>
        <w:spacing w:before="200" w:after="80"/>
        <w:ind w:left="360"/>
        <w:rPr>
          <w:rFonts w:asciiTheme="minorHAnsi" w:hAnsiTheme="minorHAnsi" w:cstheme="minorHAnsi"/>
          <w:szCs w:val="22"/>
        </w:rPr>
      </w:pPr>
      <w:r>
        <w:rPr>
          <w:rFonts w:asciiTheme="minorHAnsi" w:hAnsiTheme="minorHAnsi" w:cstheme="minorHAnsi"/>
          <w:szCs w:val="22"/>
        </w:rPr>
        <w:t>5.3 Shipping: Trade Terms and Compliance Obligations</w:t>
      </w:r>
    </w:p>
    <w:p w14:paraId="0AF97031" w14:textId="46EE6F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Incoterm (Incoterms 2020): </w:t>
      </w:r>
      <w:r>
        <w:rPr>
          <w:rFonts w:asciiTheme="minorHAnsi" w:hAnsiTheme="minorHAnsi" w:cstheme="minorHAnsi"/>
          <w:szCs w:val="22"/>
          <w:highlight w:val="yellow"/>
        </w:rPr>
        <w:t>[DDP (Delivered Duty Paid) / CIF (Cost, Insurance and Freight)]</w:t>
      </w:r>
      <w:r>
        <w:rPr>
          <w:rFonts w:asciiTheme="minorHAnsi" w:hAnsiTheme="minorHAnsi" w:cstheme="minorHAnsi"/>
          <w:szCs w:val="22"/>
        </w:rPr>
        <w:t xml:space="preserve"> </w:t>
      </w:r>
      <w:r>
        <w:rPr>
          <w:rFonts w:asciiTheme="minorHAnsi" w:hAnsiTheme="minorHAnsi" w:cstheme="minorHAnsi"/>
          <w:szCs w:val="22"/>
          <w:highlight w:val="yellow"/>
        </w:rPr>
        <w:t xml:space="preserve">[drafting note: select one and delete the explanatory paragraph that does not apply; </w:t>
      </w:r>
      <w:r>
        <w:rPr>
          <w:rFonts w:asciiTheme="minorHAnsi" w:hAnsiTheme="minorHAnsi" w:cstheme="minorHAnsi"/>
          <w:szCs w:val="22"/>
          <w:highlight w:val="yellow"/>
        </w:rPr>
        <w:t>transfer of risk is governed by the express variation in Clause 6.10.4, not by the Incoterm].</w:t>
      </w:r>
    </w:p>
    <w:p w14:paraId="1E51BE6D" w14:textId="4437115B" w:rsidR="009E333E" w:rsidRDefault="00000000">
      <w:pPr>
        <w:spacing w:after="120"/>
        <w:ind w:left="720"/>
        <w:jc w:val="both"/>
        <w:rPr>
          <w:rFonts w:asciiTheme="minorHAnsi" w:hAnsiTheme="minorHAnsi" w:cstheme="minorHAnsi"/>
          <w:szCs w:val="22"/>
        </w:rPr>
      </w:pPr>
      <w:r>
        <w:rPr>
          <w:rFonts w:asciiTheme="minorHAnsi" w:hAnsiTheme="minorHAnsi" w:cstheme="minorHAnsi"/>
          <w:i/>
          <w:iCs/>
          <w:color w:val="1F4E79"/>
          <w:szCs w:val="22"/>
          <w:highlight w:val="green"/>
        </w:rPr>
        <w:t xml:space="preserve">Note for ESCA readers: DDP places transport, import clearance, duties and inland delivery on the Seller and is the simplest for the Buyer. CIF is often more acceptable commercially when the Buyer wants to control import, duties and inland logistics; </w:t>
      </w:r>
      <w:r>
        <w:rPr>
          <w:rFonts w:asciiTheme="minorHAnsi" w:hAnsiTheme="minorHAnsi" w:cstheme="minorHAnsi"/>
          <w:i/>
          <w:iCs/>
          <w:color w:val="1F4E79"/>
          <w:szCs w:val="22"/>
          <w:highlight w:val="green"/>
        </w:rPr>
        <w:t>if CIF is chosen, confirm that the Seller’s cargo policy covers the complete agreed route and the contractual risk allocation of Clause 6.10.4, including unloading, obtain the policy evidence and the Manufacturer’s Declaration of Seaworthy Packing (APPENDIX U) before shipment, and complete the port and inland-carriage fields below.</w:t>
      </w:r>
    </w:p>
    <w:p w14:paraId="41031F09"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highlight w:val="yellow"/>
        </w:rPr>
        <w:t>Named Place of Destination</w:t>
      </w:r>
      <w:r>
        <w:rPr>
          <w:rFonts w:asciiTheme="minorHAnsi" w:hAnsiTheme="minorHAnsi" w:cstheme="minorHAnsi"/>
          <w:szCs w:val="22"/>
        </w:rPr>
        <w:t xml:space="preserve">: </w:t>
      </w:r>
      <w:r>
        <w:rPr>
          <w:rFonts w:asciiTheme="minorHAnsi" w:hAnsiTheme="minorHAnsi" w:cstheme="minorHAnsi"/>
          <w:szCs w:val="22"/>
          <w:highlight w:val="yellow"/>
        </w:rPr>
        <w:t>_________________</w:t>
      </w:r>
      <w:r>
        <w:rPr>
          <w:rFonts w:asciiTheme="minorHAnsi" w:hAnsiTheme="minorHAnsi" w:cstheme="minorHAnsi"/>
          <w:szCs w:val="22"/>
        </w:rPr>
        <w:t xml:space="preserve"> (the “</w:t>
      </w:r>
      <w:r>
        <w:rPr>
          <w:rFonts w:asciiTheme="minorHAnsi" w:hAnsiTheme="minorHAnsi" w:cstheme="minorHAnsi"/>
          <w:szCs w:val="22"/>
          <w:highlight w:val="yellow"/>
        </w:rPr>
        <w:t>Named Place of Destination</w:t>
      </w:r>
      <w:r>
        <w:rPr>
          <w:rFonts w:asciiTheme="minorHAnsi" w:hAnsiTheme="minorHAnsi" w:cstheme="minorHAnsi"/>
          <w:szCs w:val="22"/>
        </w:rPr>
        <w:t>”).</w:t>
      </w:r>
    </w:p>
    <w:p w14:paraId="2FCA6207"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highlight w:val="yellow"/>
        </w:rPr>
        <w:t>[Where CIF is selected]</w:t>
      </w:r>
      <w:r>
        <w:rPr>
          <w:rFonts w:asciiTheme="minorHAnsi" w:hAnsiTheme="minorHAnsi" w:cstheme="minorHAnsi"/>
          <w:szCs w:val="22"/>
        </w:rPr>
        <w:t xml:space="preserve"> Port of shipment: </w:t>
      </w:r>
      <w:r>
        <w:rPr>
          <w:rFonts w:asciiTheme="minorHAnsi" w:hAnsiTheme="minorHAnsi" w:cstheme="minorHAnsi"/>
          <w:szCs w:val="22"/>
          <w:highlight w:val="yellow"/>
        </w:rPr>
        <w:t>_________________</w:t>
      </w:r>
      <w:r>
        <w:rPr>
          <w:rFonts w:asciiTheme="minorHAnsi" w:hAnsiTheme="minorHAnsi" w:cstheme="minorHAnsi"/>
          <w:szCs w:val="22"/>
        </w:rPr>
        <w:t xml:space="preserve">. Named port of destination: </w:t>
      </w:r>
      <w:r>
        <w:rPr>
          <w:rFonts w:asciiTheme="minorHAnsi" w:hAnsiTheme="minorHAnsi" w:cstheme="minorHAnsi"/>
          <w:szCs w:val="22"/>
          <w:highlight w:val="yellow"/>
        </w:rPr>
        <w:t>_________________</w:t>
      </w:r>
      <w:r>
        <w:rPr>
          <w:rFonts w:asciiTheme="minorHAnsi" w:hAnsiTheme="minorHAnsi" w:cstheme="minorHAnsi"/>
          <w:szCs w:val="22"/>
        </w:rPr>
        <w:t xml:space="preserve">. Import clearance, duties and inland carriage from the named port of destination to the Site: </w:t>
      </w:r>
      <w:r>
        <w:rPr>
          <w:rFonts w:asciiTheme="minorHAnsi" w:hAnsiTheme="minorHAnsi" w:cstheme="minorHAnsi"/>
          <w:szCs w:val="22"/>
          <w:highlight w:val="yellow"/>
        </w:rPr>
        <w:t>[Buyer / Seller]</w:t>
      </w:r>
      <w:r>
        <w:rPr>
          <w:rFonts w:asciiTheme="minorHAnsi" w:hAnsiTheme="minorHAnsi" w:cstheme="minorHAnsi"/>
          <w:szCs w:val="22"/>
        </w:rPr>
        <w:t xml:space="preserve">. Unloading at the Site: </w:t>
      </w:r>
      <w:r>
        <w:rPr>
          <w:rFonts w:asciiTheme="minorHAnsi" w:hAnsiTheme="minorHAnsi" w:cstheme="minorHAnsi"/>
          <w:szCs w:val="22"/>
          <w:highlight w:val="yellow"/>
        </w:rPr>
        <w:t>[Buyer / Seller]</w:t>
      </w:r>
      <w:r>
        <w:rPr>
          <w:rFonts w:asciiTheme="minorHAnsi" w:hAnsiTheme="minorHAnsi" w:cstheme="minorHAnsi"/>
          <w:szCs w:val="22"/>
        </w:rPr>
        <w:t xml:space="preserve">. </w:t>
      </w:r>
      <w:r>
        <w:rPr>
          <w:rFonts w:asciiTheme="minorHAnsi" w:hAnsiTheme="minorHAnsi" w:cstheme="minorHAnsi"/>
          <w:szCs w:val="22"/>
          <w:highlight w:val="cyan"/>
        </w:rPr>
        <w:t>APPENDIX I</w:t>
      </w:r>
      <w:r>
        <w:rPr>
          <w:rFonts w:asciiTheme="minorHAnsi" w:hAnsiTheme="minorHAnsi" w:cstheme="minorHAnsi"/>
          <w:szCs w:val="22"/>
        </w:rPr>
        <w:t xml:space="preserve"> states the shipment-port, destination-port and Site milestones and identifies which Seller-controlled milestone attracts delay liquidated damages; delay liquidated damages do not apply to inland transport controlled by the Buyer.</w:t>
      </w:r>
    </w:p>
    <w:p w14:paraId="021F8482"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highlight w:val="yellow"/>
        </w:rPr>
        <w:t>[Where DDP is selected]</w:t>
      </w:r>
      <w:r>
        <w:rPr>
          <w:rFonts w:asciiTheme="minorHAnsi" w:hAnsiTheme="minorHAnsi" w:cstheme="minorHAnsi"/>
          <w:szCs w:val="22"/>
        </w:rPr>
        <w:t xml:space="preserve"> In accordance with DDP terms, the Seller shall be responsible for delivering the BESS to the </w:t>
      </w:r>
      <w:r>
        <w:rPr>
          <w:rFonts w:asciiTheme="minorHAnsi" w:hAnsiTheme="minorHAnsi" w:cstheme="minorHAnsi"/>
          <w:szCs w:val="22"/>
          <w:highlight w:val="yellow"/>
        </w:rPr>
        <w:t>Named Place of Destination</w:t>
      </w:r>
      <w:r>
        <w:rPr>
          <w:rFonts w:asciiTheme="minorHAnsi" w:hAnsiTheme="minorHAnsi" w:cstheme="minorHAnsi"/>
          <w:szCs w:val="22"/>
        </w:rPr>
        <w:t xml:space="preserve"> in the country of the Buyer, and shall pay for all costs in bringing the BESS to such </w:t>
      </w:r>
      <w:r>
        <w:rPr>
          <w:rFonts w:asciiTheme="minorHAnsi" w:hAnsiTheme="minorHAnsi" w:cstheme="minorHAnsi"/>
          <w:szCs w:val="22"/>
          <w:highlight w:val="yellow"/>
        </w:rPr>
        <w:t>Named Place of Destination</w:t>
      </w:r>
      <w:r>
        <w:rPr>
          <w:rFonts w:asciiTheme="minorHAnsi" w:hAnsiTheme="minorHAnsi" w:cstheme="minorHAnsi"/>
          <w:szCs w:val="22"/>
        </w:rPr>
        <w:t xml:space="preserve"> including import duties and taxes. The Seller shall be responsible for clearing the BESS through customs in the Buyer’s country, including both paying the duties and taxes and obtaining the necessary authorisations and registrations from the authorities in the Buyer’s country. The Seller shall not be responsible for unloading the BESS at the </w:t>
      </w:r>
      <w:r>
        <w:rPr>
          <w:rFonts w:asciiTheme="minorHAnsi" w:hAnsiTheme="minorHAnsi" w:cstheme="minorHAnsi"/>
          <w:szCs w:val="22"/>
          <w:highlight w:val="yellow"/>
        </w:rPr>
        <w:t>Named Place of Destination</w:t>
      </w:r>
      <w:r>
        <w:rPr>
          <w:rFonts w:asciiTheme="minorHAnsi" w:hAnsiTheme="minorHAnsi" w:cstheme="minorHAnsi"/>
          <w:szCs w:val="22"/>
        </w:rPr>
        <w:t xml:space="preserve">. The Seller understands and agrees that the BESS shall conform with all applicable international and local </w:t>
      </w:r>
      <w:r>
        <w:rPr>
          <w:rFonts w:asciiTheme="minorHAnsi" w:hAnsiTheme="minorHAnsi" w:cstheme="minorHAnsi"/>
          <w:szCs w:val="22"/>
          <w:highlight w:val="yellow"/>
        </w:rPr>
        <w:t>&lt;Country&gt;</w:t>
      </w:r>
      <w:r>
        <w:rPr>
          <w:rFonts w:asciiTheme="minorHAnsi" w:hAnsiTheme="minorHAnsi" w:cstheme="minorHAnsi"/>
          <w:szCs w:val="22"/>
        </w:rPr>
        <w:t xml:space="preserve"> regulations.</w:t>
      </w:r>
    </w:p>
    <w:p w14:paraId="0E2B1A2A" w14:textId="52843F51"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highlight w:val="yellow"/>
        </w:rPr>
        <w:t>[Where CIF is selected]</w:t>
      </w:r>
      <w:r>
        <w:rPr>
          <w:rFonts w:asciiTheme="minorHAnsi" w:hAnsiTheme="minorHAnsi" w:cstheme="minorHAnsi"/>
          <w:szCs w:val="22"/>
        </w:rPr>
        <w:t xml:space="preserve"> In accordance with CIF terms, the Seller shall be responsible for delivering the BESS on board the vessel at the port of shipment, for the contract of carriage to the named port of destination and for export clearance, and </w:t>
      </w:r>
      <w:r>
        <w:rPr>
          <w:rFonts w:asciiTheme="minorHAnsi" w:hAnsiTheme="minorHAnsi" w:cstheme="minorHAnsi"/>
          <w:szCs w:val="22"/>
        </w:rPr>
        <w:t xml:space="preserve">shall procure marine cargo insurance for the greater of 110% of the CIF value and the full replacement value of the BESS including freight and duties, on Institute Cargo Clauses (A) or equivalent, naming the Buyer as insured and loss payee, </w:t>
      </w:r>
      <w:r>
        <w:rPr>
          <w:rFonts w:asciiTheme="minorHAnsi" w:hAnsiTheme="minorHAnsi" w:cstheme="minorHAnsi"/>
          <w:szCs w:val="22"/>
        </w:rPr>
        <w:lastRenderedPageBreak/>
        <w:t>covering the BESS until completion of unloading at the Site.</w:t>
      </w:r>
      <w:r>
        <w:rPr>
          <w:rFonts w:asciiTheme="minorHAnsi" w:hAnsiTheme="minorHAnsi" w:cstheme="minorHAnsi"/>
          <w:szCs w:val="22"/>
        </w:rPr>
        <w:t xml:space="preserve"> The Seller remains responsible for seaworthy packing under Clause 5.2 and for the shipping documentation under Clause 5.2.3. The BESS shall conform with all applicable international and local </w:t>
      </w:r>
      <w:r>
        <w:rPr>
          <w:rFonts w:asciiTheme="minorHAnsi" w:hAnsiTheme="minorHAnsi" w:cstheme="minorHAnsi"/>
          <w:szCs w:val="22"/>
          <w:highlight w:val="yellow"/>
        </w:rPr>
        <w:t>&lt;Country&gt;</w:t>
      </w:r>
      <w:r>
        <w:rPr>
          <w:rFonts w:asciiTheme="minorHAnsi" w:hAnsiTheme="minorHAnsi" w:cstheme="minorHAnsi"/>
          <w:szCs w:val="22"/>
        </w:rPr>
        <w:t xml:space="preserve"> regulations.</w:t>
      </w:r>
    </w:p>
    <w:p w14:paraId="269773CF" w14:textId="77777777" w:rsidR="009E333E" w:rsidRDefault="00000000">
      <w:pPr>
        <w:pStyle w:val="Heading2"/>
        <w:spacing w:before="200" w:after="80"/>
        <w:ind w:left="360"/>
        <w:rPr>
          <w:rFonts w:asciiTheme="minorHAnsi" w:hAnsiTheme="minorHAnsi" w:cstheme="minorHAnsi"/>
          <w:szCs w:val="22"/>
        </w:rPr>
      </w:pPr>
      <w:r>
        <w:rPr>
          <w:rFonts w:asciiTheme="minorHAnsi" w:hAnsiTheme="minorHAnsi" w:cstheme="minorHAnsi"/>
          <w:szCs w:val="22"/>
        </w:rPr>
        <w:t>5.4 Delivery</w:t>
      </w:r>
    </w:p>
    <w:p w14:paraId="1B429FAC" w14:textId="63C52778"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The Seller shall achieve Delivery of each shipment within its Scheduled Delivery Period stated in </w:t>
      </w:r>
      <w:r>
        <w:rPr>
          <w:rFonts w:asciiTheme="minorHAnsi" w:hAnsiTheme="minorHAnsi" w:cstheme="minorHAnsi"/>
          <w:szCs w:val="22"/>
          <w:highlight w:val="cyan"/>
        </w:rPr>
        <w:t>APPENDIX I</w:t>
      </w:r>
      <w:r>
        <w:rPr>
          <w:rFonts w:asciiTheme="minorHAnsi" w:hAnsiTheme="minorHAnsi" w:cstheme="minorHAnsi"/>
          <w:szCs w:val="22"/>
        </w:rPr>
        <w:t xml:space="preserve"> (Delivery Schedule), as extended only in accordance with Clause 5.9. The Seller may withhold shipment for non-payment of an advance only where that advance has become due under Clause 6.10 and </w:t>
      </w:r>
      <w:r>
        <w:rPr>
          <w:rFonts w:asciiTheme="minorHAnsi" w:hAnsiTheme="minorHAnsi" w:cstheme="minorHAnsi"/>
          <w:szCs w:val="22"/>
          <w:highlight w:val="cyan"/>
        </w:rPr>
        <w:t>APPENDIX K</w:t>
      </w:r>
      <w:r>
        <w:rPr>
          <w:rFonts w:asciiTheme="minorHAnsi" w:hAnsiTheme="minorHAnsi" w:cstheme="minorHAnsi"/>
          <w:szCs w:val="22"/>
        </w:rPr>
        <w:t xml:space="preserve"> (Payment Schedule) and the Seller has itself delivered the Advance Payment Guarantee required by Clause 6.11.</w:t>
      </w:r>
    </w:p>
    <w:p w14:paraId="65F44A4C" w14:textId="77777777" w:rsidR="009E333E" w:rsidRDefault="00000000">
      <w:pPr>
        <w:pStyle w:val="Heading2"/>
        <w:spacing w:before="200" w:after="80"/>
        <w:ind w:left="360"/>
        <w:rPr>
          <w:rFonts w:asciiTheme="minorHAnsi" w:hAnsiTheme="minorHAnsi" w:cstheme="minorHAnsi"/>
          <w:szCs w:val="22"/>
        </w:rPr>
      </w:pPr>
      <w:r>
        <w:rPr>
          <w:rFonts w:asciiTheme="minorHAnsi" w:hAnsiTheme="minorHAnsi" w:cstheme="minorHAnsi"/>
          <w:szCs w:val="22"/>
        </w:rPr>
        <w:t>5.5 Late Delivery and Liquidated Damages</w:t>
      </w:r>
    </w:p>
    <w:p w14:paraId="67D32404"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5.5.1 If a shipment is not Delivered at the </w:t>
      </w:r>
      <w:r>
        <w:rPr>
          <w:rFonts w:asciiTheme="minorHAnsi" w:hAnsiTheme="minorHAnsi" w:cstheme="minorHAnsi"/>
          <w:szCs w:val="22"/>
          <w:highlight w:val="yellow"/>
        </w:rPr>
        <w:t>Named Place of Destination</w:t>
      </w:r>
      <w:r>
        <w:rPr>
          <w:rFonts w:asciiTheme="minorHAnsi" w:hAnsiTheme="minorHAnsi" w:cstheme="minorHAnsi"/>
          <w:szCs w:val="22"/>
        </w:rPr>
        <w:t xml:space="preserve"> by the end of its Scheduled Delivery Period, as extended only in accordance with Clause 5.9, the Seller shall pay delay liquidated damages of </w:t>
      </w:r>
      <w:r>
        <w:rPr>
          <w:rFonts w:asciiTheme="minorHAnsi" w:hAnsiTheme="minorHAnsi" w:cstheme="minorHAnsi"/>
          <w:szCs w:val="22"/>
          <w:highlight w:val="yellow"/>
        </w:rPr>
        <w:t>[zero point two per cent (0.2%)]</w:t>
      </w:r>
      <w:r>
        <w:rPr>
          <w:rFonts w:asciiTheme="minorHAnsi" w:hAnsiTheme="minorHAnsi" w:cstheme="minorHAnsi"/>
          <w:szCs w:val="22"/>
        </w:rPr>
        <w:t xml:space="preserve"> of the price of the late shipment for each calendar day of delay [after a grace period of </w:t>
      </w:r>
      <w:r>
        <w:rPr>
          <w:rFonts w:asciiTheme="minorHAnsi" w:hAnsiTheme="minorHAnsi" w:cstheme="minorHAnsi"/>
          <w:szCs w:val="22"/>
          <w:highlight w:val="yellow"/>
        </w:rPr>
        <w:t>[__]</w:t>
      </w:r>
      <w:r>
        <w:rPr>
          <w:rFonts w:asciiTheme="minorHAnsi" w:hAnsiTheme="minorHAnsi" w:cstheme="minorHAnsi"/>
          <w:szCs w:val="22"/>
        </w:rPr>
        <w:t xml:space="preserve"> days], up to a maximum of </w:t>
      </w:r>
      <w:r>
        <w:rPr>
          <w:rFonts w:asciiTheme="minorHAnsi" w:hAnsiTheme="minorHAnsi" w:cstheme="minorHAnsi"/>
          <w:szCs w:val="22"/>
          <w:highlight w:val="yellow"/>
        </w:rPr>
        <w:t>[fifteen per cent (15%)]</w:t>
      </w:r>
      <w:r>
        <w:rPr>
          <w:rFonts w:asciiTheme="minorHAnsi" w:hAnsiTheme="minorHAnsi" w:cstheme="minorHAnsi"/>
          <w:szCs w:val="22"/>
        </w:rPr>
        <w:t xml:space="preserve"> of the Contract Price (the “Delay LD Cap”). Delay in Site Acceptance caused by the Seller is compensated at the same rate on the Contract Price. For clarification, the BESS shall be delivered in several instalments and each instalment shall have an associated delivery period in </w:t>
      </w:r>
      <w:r>
        <w:rPr>
          <w:rFonts w:asciiTheme="minorHAnsi" w:hAnsiTheme="minorHAnsi" w:cstheme="minorHAnsi"/>
          <w:szCs w:val="22"/>
          <w:highlight w:val="cyan"/>
        </w:rPr>
        <w:t>APPENDIX I</w:t>
      </w:r>
      <w:r>
        <w:rPr>
          <w:rFonts w:asciiTheme="minorHAnsi" w:hAnsiTheme="minorHAnsi" w:cstheme="minorHAnsi"/>
          <w:szCs w:val="22"/>
        </w:rPr>
        <w:t xml:space="preserve"> (Delivery Schedule).</w:t>
      </w:r>
      <w:r>
        <w:rPr>
          <w:rFonts w:asciiTheme="minorHAnsi" w:hAnsiTheme="minorHAnsi" w:cstheme="minorHAnsi"/>
          <w:szCs w:val="22"/>
        </w:rPr>
        <w:t xml:space="preserve"> Design delay liquidated damages under Clause 4.9.4, shipment delay liquidated damages and Site Acceptance delay liquidated damages share the Delay LD Cap; where the same delay causes overlapping milestone failures, the Buyer may recover the highest applicable amount for that period and not cumulative amounts for the same delay. Design delay liquidated damages are prorated by day for part of a week. </w:t>
      </w:r>
      <w:r>
        <w:rPr>
          <w:rFonts w:asciiTheme="minorHAnsi" w:hAnsiTheme="minorHAnsi" w:cstheme="minorHAnsi"/>
          <w:szCs w:val="22"/>
          <w:highlight w:val="cyan"/>
        </w:rPr>
        <w:t>APPENDIX I</w:t>
      </w:r>
      <w:r>
        <w:rPr>
          <w:rFonts w:asciiTheme="minorHAnsi" w:hAnsiTheme="minorHAnsi" w:cstheme="minorHAnsi"/>
          <w:szCs w:val="22"/>
        </w:rPr>
        <w:t xml:space="preserve"> states a Scheduled Site Acceptance Date and an acceptance Longstop Date, to which Clause 5.5.4 applies in the same way as to a shipment Longstop Date.</w:t>
      </w:r>
    </w:p>
    <w:p w14:paraId="2A19A890" w14:textId="1D8822AD"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5.5.2 </w:t>
      </w:r>
      <w:r>
        <w:rPr>
          <w:rFonts w:asciiTheme="minorHAnsi" w:hAnsiTheme="minorHAnsi" w:cstheme="minorHAnsi"/>
          <w:szCs w:val="22"/>
        </w:rPr>
        <w:t>The Parties agree that the delay liquidated damages protect the Buyer’s legitimate interest in timely performance and are proportionate to the losses reasonably anticipated when this Agreement is made, including loss of market revenue and liabilities under the Buyer’s offtake, grid connection and construction contracts.</w:t>
      </w:r>
      <w:r>
        <w:rPr>
          <w:rFonts w:asciiTheme="minorHAnsi" w:hAnsiTheme="minorHAnsi" w:cstheme="minorHAnsi"/>
          <w:szCs w:val="22"/>
        </w:rPr>
        <w:t xml:space="preserve"> If they are nonetheless held unenforceable, the Seller shall compensate the Buyer’s actual loss up to the amount that would have been payable as liquidated damages.</w:t>
      </w:r>
    </w:p>
    <w:p w14:paraId="35646080" w14:textId="0AA718E6"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5.5.3 </w:t>
      </w:r>
      <w:r>
        <w:rPr>
          <w:rFonts w:asciiTheme="minorHAnsi" w:hAnsiTheme="minorHAnsi" w:cstheme="minorHAnsi"/>
          <w:szCs w:val="22"/>
        </w:rPr>
        <w:t>Delay liquidated damages are the Buyer’s sole monetary remedy for the delay loss they compensate before termination. They do not restrict the Buyer’s rights to require delivery, to reject, to terminate, to claim for distinct breaches or to recover post-termination replacement costs under Clause 8.4, subject in each case to Clause 14.1 and to no amount being recovered twice for the same loss, and their payment does not release the Seller from its obligation to deliver.</w:t>
      </w:r>
      <w:r>
        <w:rPr>
          <w:rFonts w:asciiTheme="minorHAnsi" w:hAnsiTheme="minorHAnsi" w:cstheme="minorHAnsi"/>
          <w:szCs w:val="22"/>
        </w:rPr>
        <w:t xml:space="preserve"> Separate caps of </w:t>
      </w:r>
      <w:r>
        <w:rPr>
          <w:rFonts w:asciiTheme="minorHAnsi" w:hAnsiTheme="minorHAnsi" w:cstheme="minorHAnsi"/>
          <w:szCs w:val="22"/>
          <w:highlight w:val="yellow"/>
        </w:rPr>
        <w:t>[fifteen per cent (15%)]</w:t>
      </w:r>
      <w:r>
        <w:rPr>
          <w:rFonts w:asciiTheme="minorHAnsi" w:hAnsiTheme="minorHAnsi" w:cstheme="minorHAnsi"/>
          <w:szCs w:val="22"/>
        </w:rPr>
        <w:t xml:space="preserve"> of the Contract Price apply to performance liquidated damages and to availability liquidated damages respectively, as stated in </w:t>
      </w:r>
      <w:r>
        <w:rPr>
          <w:rFonts w:asciiTheme="minorHAnsi" w:hAnsiTheme="minorHAnsi" w:cstheme="minorHAnsi"/>
          <w:szCs w:val="22"/>
          <w:highlight w:val="cyan"/>
        </w:rPr>
        <w:t>APPENDIX G</w:t>
      </w:r>
      <w:r>
        <w:rPr>
          <w:rFonts w:asciiTheme="minorHAnsi" w:hAnsiTheme="minorHAnsi" w:cstheme="minorHAnsi"/>
          <w:szCs w:val="22"/>
        </w:rPr>
        <w:t>; all liquidated damages together are subject to Clause 14.1.</w:t>
      </w:r>
    </w:p>
    <w:p w14:paraId="66D6CD37"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5.5.4 If accrued delay liquidated damages reach the Delay LD Cap, or if any shipment has not been Delivered within </w:t>
      </w:r>
      <w:r>
        <w:rPr>
          <w:rFonts w:asciiTheme="minorHAnsi" w:hAnsiTheme="minorHAnsi" w:cstheme="minorHAnsi"/>
          <w:szCs w:val="22"/>
          <w:highlight w:val="yellow"/>
        </w:rPr>
        <w:t>[ninety (90)]</w:t>
      </w:r>
      <w:r>
        <w:rPr>
          <w:rFonts w:asciiTheme="minorHAnsi" w:hAnsiTheme="minorHAnsi" w:cstheme="minorHAnsi"/>
          <w:szCs w:val="22"/>
        </w:rPr>
        <w:t xml:space="preserve"> calendar days after its Scheduled Delivery Period (the “Longstop Date”), the Buyer may terminate this Agreement in whole or in respect of the undelivered scope under Clause 8.2 and recover its losses under Clause 8.4.</w:t>
      </w:r>
    </w:p>
    <w:p w14:paraId="598B9218" w14:textId="77777777" w:rsidR="009E333E" w:rsidRDefault="00000000">
      <w:pPr>
        <w:pStyle w:val="Heading2"/>
        <w:spacing w:before="200" w:after="80"/>
        <w:ind w:left="360"/>
        <w:rPr>
          <w:rFonts w:asciiTheme="minorHAnsi" w:hAnsiTheme="minorHAnsi" w:cstheme="minorHAnsi"/>
          <w:szCs w:val="22"/>
        </w:rPr>
      </w:pPr>
      <w:r>
        <w:rPr>
          <w:rFonts w:asciiTheme="minorHAnsi" w:hAnsiTheme="minorHAnsi" w:cstheme="minorHAnsi"/>
          <w:szCs w:val="22"/>
        </w:rPr>
        <w:lastRenderedPageBreak/>
        <w:t>5.6 Programme and Progress Reporting</w:t>
      </w:r>
    </w:p>
    <w:p w14:paraId="5A7077C3" w14:textId="7709C9F2"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5.6.1 </w:t>
      </w:r>
      <w:r>
        <w:rPr>
          <w:rFonts w:asciiTheme="minorHAnsi" w:hAnsiTheme="minorHAnsi" w:cstheme="minorHAnsi"/>
          <w:szCs w:val="22"/>
        </w:rPr>
        <w:t>Before the Notice to Proceed to Manufacture the Seller shall submit a detailed programme</w:t>
      </w:r>
      <w:r>
        <w:rPr>
          <w:rFonts w:asciiTheme="minorHAnsi" w:hAnsiTheme="minorHAnsi" w:cstheme="minorHAnsi"/>
          <w:szCs w:val="22"/>
        </w:rPr>
        <w:t xml:space="preserve"> consistent with </w:t>
      </w:r>
      <w:r>
        <w:rPr>
          <w:rFonts w:asciiTheme="minorHAnsi" w:hAnsiTheme="minorHAnsi" w:cstheme="minorHAnsi"/>
          <w:szCs w:val="22"/>
          <w:highlight w:val="cyan"/>
        </w:rPr>
        <w:t>APPENDIX I</w:t>
      </w:r>
      <w:r>
        <w:rPr>
          <w:rFonts w:asciiTheme="minorHAnsi" w:hAnsiTheme="minorHAnsi" w:cstheme="minorHAnsi"/>
          <w:szCs w:val="22"/>
        </w:rPr>
        <w:t xml:space="preserve"> showing the logic and dates for design submissions and reviews, procurement and arrival of Key Components, cell production and ageing, pack and rack assembly, container integration, hold and witness points, FAT, corrective action and re-test allowances, shipment release, transport, Delivery, commissioning, SAT, training and document handover, and identifying any Buyer inputs with the dates by which they are required.</w:t>
      </w:r>
      <w:r>
        <w:rPr>
          <w:rFonts w:asciiTheme="minorHAnsi" w:hAnsiTheme="minorHAnsi" w:cstheme="minorHAnsi"/>
          <w:szCs w:val="22"/>
        </w:rPr>
        <w:t xml:space="preserve"> The Seller shall submit an updated execution programme within </w:t>
      </w:r>
      <w:r>
        <w:rPr>
          <w:rFonts w:asciiTheme="minorHAnsi" w:hAnsiTheme="minorHAnsi" w:cstheme="minorHAnsi"/>
          <w:szCs w:val="22"/>
          <w:highlight w:val="yellow"/>
        </w:rPr>
        <w:t>[twenty (20)]</w:t>
      </w:r>
      <w:r>
        <w:rPr>
          <w:rFonts w:asciiTheme="minorHAnsi" w:hAnsiTheme="minorHAnsi" w:cstheme="minorHAnsi"/>
          <w:szCs w:val="22"/>
        </w:rPr>
        <w:t xml:space="preserve"> Business Days after the Notice to Proceed to Manufacture.</w:t>
      </w:r>
    </w:p>
    <w:p w14:paraId="27AF53E6"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5.6.2 The Seller shall update the programme and deliver a written progress report at least monthly, showing actual progress against plan, forecast dates, the critical path, risks, non-conformances and recovery actions, with production photographs and serial-number status.</w:t>
      </w:r>
    </w:p>
    <w:p w14:paraId="0C327327"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5.6.3 No programme update, and no identification of a Buyer input in the programme, changes a contractual date in </w:t>
      </w:r>
      <w:r>
        <w:rPr>
          <w:rFonts w:asciiTheme="minorHAnsi" w:hAnsiTheme="minorHAnsi" w:cstheme="minorHAnsi"/>
          <w:szCs w:val="22"/>
          <w:highlight w:val="cyan"/>
        </w:rPr>
        <w:t>APPENDIX I</w:t>
      </w:r>
      <w:r>
        <w:rPr>
          <w:rFonts w:asciiTheme="minorHAnsi" w:hAnsiTheme="minorHAnsi" w:cstheme="minorHAnsi"/>
          <w:szCs w:val="22"/>
        </w:rPr>
        <w:t xml:space="preserve"> unless agreed in writing as a Variation.</w:t>
      </w:r>
    </w:p>
    <w:p w14:paraId="0678556B" w14:textId="77777777" w:rsidR="009E333E" w:rsidRDefault="00000000">
      <w:pPr>
        <w:pStyle w:val="Heading2"/>
        <w:spacing w:before="200" w:after="80"/>
        <w:ind w:left="360"/>
        <w:rPr>
          <w:rFonts w:asciiTheme="minorHAnsi" w:hAnsiTheme="minorHAnsi" w:cstheme="minorHAnsi"/>
          <w:szCs w:val="22"/>
        </w:rPr>
      </w:pPr>
      <w:r>
        <w:rPr>
          <w:rFonts w:asciiTheme="minorHAnsi" w:hAnsiTheme="minorHAnsi" w:cstheme="minorHAnsi"/>
          <w:szCs w:val="22"/>
        </w:rPr>
        <w:t>5.7 Postponement and Storage</w:t>
      </w:r>
    </w:p>
    <w:p w14:paraId="5171B0D4"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5.7.1 The Buyer may, on not less than </w:t>
      </w:r>
      <w:r>
        <w:rPr>
          <w:rFonts w:asciiTheme="minorHAnsi" w:hAnsiTheme="minorHAnsi" w:cstheme="minorHAnsi"/>
          <w:szCs w:val="22"/>
          <w:highlight w:val="yellow"/>
        </w:rPr>
        <w:t>[ten (10)]</w:t>
      </w:r>
      <w:r>
        <w:rPr>
          <w:rFonts w:asciiTheme="minorHAnsi" w:hAnsiTheme="minorHAnsi" w:cstheme="minorHAnsi"/>
          <w:szCs w:val="22"/>
        </w:rPr>
        <w:t xml:space="preserve"> Business Days’ written notice, postpone any scheduled delivery. The Seller shall store the affected units in a covered, climate-controlled facility, maintain the state of charge and preservation conditions prescribed under Clause 5.2.2, perform the periodic recharging and inspections required to preserve capacity and warranty, and keep records available to the Buyer. Storage for the first </w:t>
      </w:r>
      <w:r>
        <w:rPr>
          <w:rFonts w:asciiTheme="minorHAnsi" w:hAnsiTheme="minorHAnsi" w:cstheme="minorHAnsi"/>
          <w:szCs w:val="22"/>
          <w:highlight w:val="yellow"/>
        </w:rPr>
        <w:t>[ninety (90)]</w:t>
      </w:r>
      <w:r>
        <w:rPr>
          <w:rFonts w:asciiTheme="minorHAnsi" w:hAnsiTheme="minorHAnsi" w:cstheme="minorHAnsi"/>
          <w:szCs w:val="22"/>
        </w:rPr>
        <w:t xml:space="preserve"> days of cumulative postponement is included in the Contract Price; thereafter the Buyer pays the storage rate stated in </w:t>
      </w:r>
      <w:r>
        <w:rPr>
          <w:rFonts w:asciiTheme="minorHAnsi" w:hAnsiTheme="minorHAnsi" w:cstheme="minorHAnsi"/>
          <w:szCs w:val="22"/>
          <w:highlight w:val="cyan"/>
        </w:rPr>
        <w:t>APPENDIX K</w:t>
      </w:r>
      <w:r>
        <w:rPr>
          <w:rFonts w:asciiTheme="minorHAnsi" w:hAnsiTheme="minorHAnsi" w:cstheme="minorHAnsi"/>
          <w:szCs w:val="22"/>
        </w:rPr>
        <w:t>.</w:t>
      </w:r>
    </w:p>
    <w:p w14:paraId="11998F62"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5.7.2 Risk, title and warranty periods are unaffected by postponement. Units stored for more than </w:t>
      </w:r>
      <w:r>
        <w:rPr>
          <w:rFonts w:asciiTheme="minorHAnsi" w:hAnsiTheme="minorHAnsi" w:cstheme="minorHAnsi"/>
          <w:szCs w:val="22"/>
          <w:highlight w:val="yellow"/>
        </w:rPr>
        <w:t>[six (6)]</w:t>
      </w:r>
      <w:r>
        <w:rPr>
          <w:rFonts w:asciiTheme="minorHAnsi" w:hAnsiTheme="minorHAnsi" w:cstheme="minorHAnsi"/>
          <w:szCs w:val="22"/>
        </w:rPr>
        <w:t xml:space="preserve"> months shall be re-tested before shipment in accordance with </w:t>
      </w:r>
      <w:r>
        <w:rPr>
          <w:rFonts w:asciiTheme="minorHAnsi" w:hAnsiTheme="minorHAnsi" w:cstheme="minorHAnsi"/>
          <w:szCs w:val="22"/>
          <w:highlight w:val="cyan"/>
        </w:rPr>
        <w:t>APPENDIX F</w:t>
      </w:r>
      <w:r>
        <w:rPr>
          <w:rFonts w:asciiTheme="minorHAnsi" w:hAnsiTheme="minorHAnsi" w:cstheme="minorHAnsi"/>
          <w:szCs w:val="22"/>
        </w:rPr>
        <w:t xml:space="preserve"> at the Seller’s cost, witnessed by the Selected Third-Party on request.</w:t>
      </w:r>
    </w:p>
    <w:p w14:paraId="4B1E5853"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5.7.3 Where a delivery is postponed by more than </w:t>
      </w:r>
      <w:r>
        <w:rPr>
          <w:rFonts w:asciiTheme="minorHAnsi" w:hAnsiTheme="minorHAnsi" w:cstheme="minorHAnsi"/>
          <w:szCs w:val="22"/>
          <w:highlight w:val="yellow"/>
        </w:rPr>
        <w:t>[one hundred and eighty (180)]</w:t>
      </w:r>
      <w:r>
        <w:rPr>
          <w:rFonts w:asciiTheme="minorHAnsi" w:hAnsiTheme="minorHAnsi" w:cstheme="minorHAnsi"/>
          <w:szCs w:val="22"/>
        </w:rPr>
        <w:t xml:space="preserve"> consecutive days for reasons attributable to the Buyer, the Seller may invoice the milestone linked to the postponed shipment against delivery of an Advance Payment Guarantee covering it.</w:t>
      </w:r>
    </w:p>
    <w:p w14:paraId="662F4B0E" w14:textId="77777777" w:rsidR="009E333E" w:rsidRDefault="00000000">
      <w:pPr>
        <w:pStyle w:val="Heading2"/>
        <w:spacing w:before="200" w:after="80"/>
        <w:ind w:left="360"/>
        <w:rPr>
          <w:rFonts w:asciiTheme="minorHAnsi" w:hAnsiTheme="minorHAnsi" w:cstheme="minorHAnsi"/>
          <w:szCs w:val="22"/>
        </w:rPr>
      </w:pPr>
      <w:r>
        <w:rPr>
          <w:rFonts w:asciiTheme="minorHAnsi" w:hAnsiTheme="minorHAnsi" w:cstheme="minorHAnsi"/>
          <w:szCs w:val="22"/>
        </w:rPr>
        <w:t>5.8 Suspension</w:t>
      </w:r>
    </w:p>
    <w:p w14:paraId="3F5F4F4C" w14:textId="4D955002"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The Buyer may at any time instruct the Seller to suspend manufacture, shipment or site activities in whole or in part. The Seller shall protect, preserve and store the affected BESS in accordance with Clause 5.7. Where the suspension is not attributable to the Seller, the Seller is entitled to a corresponding extension of the affected dates and to its reasonable, documented and mitigated storage and preservation costs beyond the included period, without profit or overhead. If a suspension of the whole of the Seller’s work </w:t>
      </w:r>
      <w:r>
        <w:rPr>
          <w:rFonts w:asciiTheme="minorHAnsi" w:hAnsiTheme="minorHAnsi" w:cstheme="minorHAnsi"/>
          <w:szCs w:val="22"/>
        </w:rPr>
        <w:t>exceeds one hundred and eighty (180) consecutive days for reasons not attributable to the Seller, the Seller may request</w:t>
      </w:r>
      <w:r>
        <w:rPr>
          <w:rFonts w:asciiTheme="minorHAnsi" w:hAnsiTheme="minorHAnsi" w:cstheme="minorHAnsi"/>
          <w:szCs w:val="22"/>
        </w:rPr>
        <w:t xml:space="preserve"> permission to resume and, if none is given within twenty (20) Business Days, may treat the suspended scope as terminated for convenience under Clause 8.5.</w:t>
      </w:r>
    </w:p>
    <w:p w14:paraId="4671F013" w14:textId="77777777" w:rsidR="009E333E" w:rsidRDefault="00000000">
      <w:pPr>
        <w:pStyle w:val="Heading2"/>
        <w:spacing w:before="200" w:after="80"/>
        <w:ind w:left="360"/>
        <w:rPr>
          <w:rFonts w:asciiTheme="minorHAnsi" w:hAnsiTheme="minorHAnsi" w:cstheme="minorHAnsi"/>
          <w:szCs w:val="22"/>
        </w:rPr>
      </w:pPr>
      <w:r>
        <w:rPr>
          <w:rFonts w:asciiTheme="minorHAnsi" w:hAnsiTheme="minorHAnsi" w:cstheme="minorHAnsi"/>
          <w:szCs w:val="22"/>
        </w:rPr>
        <w:t>5.9 Extension of Time and Claims</w:t>
      </w:r>
    </w:p>
    <w:p w14:paraId="1C13DE19"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5.9.1 The Seller is entitled to an extension of a date in </w:t>
      </w:r>
      <w:r>
        <w:rPr>
          <w:rFonts w:asciiTheme="minorHAnsi" w:hAnsiTheme="minorHAnsi" w:cstheme="minorHAnsi"/>
          <w:szCs w:val="22"/>
          <w:highlight w:val="cyan"/>
        </w:rPr>
        <w:t>APPENDIX I</w:t>
      </w:r>
      <w:r>
        <w:rPr>
          <w:rFonts w:asciiTheme="minorHAnsi" w:hAnsiTheme="minorHAnsi" w:cstheme="minorHAnsi"/>
          <w:szCs w:val="22"/>
        </w:rPr>
        <w:t xml:space="preserve"> only to the extent that Delivery or Site Acceptance is actually delayed on the critical path by (a) a Variation instructed by the Buyer, (b) a suspension or postponement under Clauses 5.7 or 5.8 not caused by the Seller, (c) a </w:t>
      </w:r>
      <w:r>
        <w:rPr>
          <w:rFonts w:asciiTheme="minorHAnsi" w:hAnsiTheme="minorHAnsi" w:cstheme="minorHAnsi"/>
          <w:szCs w:val="22"/>
        </w:rPr>
        <w:lastRenderedPageBreak/>
        <w:t>breach of this Agreement by the Buyer, or (d) Force Majeure, and only if the Seller has taken all reasonable steps to avoid or mitigate the delay and has given notice under Clause 5.9.2.</w:t>
      </w:r>
    </w:p>
    <w:p w14:paraId="413C2CB7" w14:textId="742B49BF"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5.9.2 The Seller shall notify the Buyer in writing within fourteen (14) days of becoming aware of any event it considers entitles it to an extension of time or additional payment, describing the event and its expected effect, and shall deliver full particulars with contemporaneous records and an updated programme within twenty-eight (28) days. Failure to give notice within fourteen (14) days bars the claim. </w:t>
      </w:r>
      <w:r>
        <w:rPr>
          <w:rFonts w:asciiTheme="minorHAnsi" w:hAnsiTheme="minorHAnsi" w:cstheme="minorHAnsi"/>
          <w:szCs w:val="22"/>
        </w:rPr>
        <w:t xml:space="preserve">Where delay caused by the Buyer is concurrent with delay caused by the Seller, any extension is limited to the period of critical-path delay attributable to the Buyer, applying the concurrent-delay method stated in </w:t>
      </w:r>
      <w:r>
        <w:rPr>
          <w:rFonts w:asciiTheme="minorHAnsi" w:hAnsiTheme="minorHAnsi" w:cstheme="minorHAnsi"/>
          <w:szCs w:val="22"/>
          <w:highlight w:val="cyan"/>
        </w:rPr>
        <w:t>APPENDIX I</w:t>
      </w:r>
      <w:r>
        <w:rPr>
          <w:rFonts w:asciiTheme="minorHAnsi" w:hAnsiTheme="minorHAnsi" w:cstheme="minorHAnsi"/>
          <w:szCs w:val="22"/>
        </w:rPr>
        <w:t>. No additional cost is payable for Force Majeure. Storage, preservation, remobilisation and re-test costs recoverable under Clauses 5.8 and 6.4.2 exclude profit and overhead; the pricing of Variations remains governed by Clause 4.11.</w:t>
      </w:r>
    </w:p>
    <w:p w14:paraId="3C8C34D5"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5.9.3 The Buyer may notify a claim against the Seller at any time; delay in doing so does not prejudice the claim, and amounts agreed, determined or awarded may be set off against any sum due to the Seller.</w:t>
      </w:r>
    </w:p>
    <w:p w14:paraId="69D3ACBD" w14:textId="77777777" w:rsidR="009E333E" w:rsidRDefault="00000000">
      <w:pPr>
        <w:pStyle w:val="Heading1"/>
        <w:spacing w:after="120"/>
        <w:jc w:val="left"/>
        <w:rPr>
          <w:rFonts w:asciiTheme="minorHAnsi" w:hAnsiTheme="minorHAnsi" w:cstheme="minorHAnsi"/>
          <w:szCs w:val="22"/>
        </w:rPr>
      </w:pPr>
      <w:bookmarkStart w:id="7" w:name="_Toc242471396"/>
      <w:r>
        <w:rPr>
          <w:rFonts w:asciiTheme="minorHAnsi" w:hAnsiTheme="minorHAnsi" w:cstheme="minorHAnsi"/>
          <w:szCs w:val="22"/>
        </w:rPr>
        <w:t>6. Delivery Inspection, Commissioning, Site Acceptance, Monitoring and Payment</w:t>
      </w:r>
      <w:bookmarkEnd w:id="7"/>
    </w:p>
    <w:p w14:paraId="7896B4EF" w14:textId="77777777" w:rsidR="009E333E" w:rsidRDefault="00000000">
      <w:pPr>
        <w:pStyle w:val="Heading2"/>
        <w:spacing w:before="200" w:after="80"/>
        <w:ind w:left="360"/>
        <w:rPr>
          <w:rFonts w:asciiTheme="minorHAnsi" w:hAnsiTheme="minorHAnsi" w:cstheme="minorHAnsi"/>
          <w:szCs w:val="22"/>
        </w:rPr>
      </w:pPr>
      <w:r>
        <w:rPr>
          <w:rFonts w:asciiTheme="minorHAnsi" w:hAnsiTheme="minorHAnsi" w:cstheme="minorHAnsi"/>
          <w:szCs w:val="22"/>
        </w:rPr>
        <w:t>6.1 Post-Delivery Inspection</w:t>
      </w:r>
    </w:p>
    <w:p w14:paraId="48A832B4"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6.1.1 Within thirty (30) calendar days of completion of unloading of each shipment at the </w:t>
      </w:r>
      <w:r>
        <w:rPr>
          <w:rFonts w:asciiTheme="minorHAnsi" w:hAnsiTheme="minorHAnsi" w:cstheme="minorHAnsi"/>
          <w:szCs w:val="22"/>
          <w:highlight w:val="yellow"/>
        </w:rPr>
        <w:t>Named Place of Destination</w:t>
      </w:r>
      <w:r>
        <w:rPr>
          <w:rFonts w:asciiTheme="minorHAnsi" w:hAnsiTheme="minorHAnsi" w:cstheme="minorHAnsi"/>
          <w:szCs w:val="22"/>
        </w:rPr>
        <w:t xml:space="preserve"> (the “Rejection Period”) the Buyer shall carry out a post-delivery inspection limited to visible transport damage, completeness against the packing list and the as-built register, documentation and the transport data-logger records (the “Post-Delivery Inspection”), and shall notify the Seller of any visible damage, shortfall or discrepancy found, with photographs and the logger data.</w:t>
      </w:r>
    </w:p>
    <w:p w14:paraId="77AE0339" w14:textId="3BB9093E"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6.1.2 The Buyer shall support any rejection of the BESS with a detailed written explanation and pictures of the non-conforming BESS (if the defect is visible). The Seller will examine the evidence provided by the Buyer and may visit the Site to inspect the BESS in question. </w:t>
      </w:r>
      <w:r>
        <w:rPr>
          <w:rFonts w:asciiTheme="minorHAnsi" w:hAnsiTheme="minorHAnsi" w:cstheme="minorHAnsi"/>
          <w:szCs w:val="22"/>
        </w:rPr>
        <w:t>Within five (5) calendar days after receiving the claim notice the Seller shall provide its reasoned response, stating whether it accepts responsibility and the proposed remedy, without delaying any urgent safety action.</w:t>
      </w:r>
    </w:p>
    <w:p w14:paraId="69BE87C2" w14:textId="44A455BB"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6.1.3 If the Buyer gives written notice and proof of a non-conformity to the Seller within the Rejection Period, then, without limiting the Buyer’s rights under this Agreement, </w:t>
      </w:r>
      <w:r>
        <w:rPr>
          <w:rFonts w:asciiTheme="minorHAnsi" w:hAnsiTheme="minorHAnsi" w:cstheme="minorHAnsi"/>
          <w:szCs w:val="22"/>
        </w:rPr>
        <w:t>the Seller shall respond under Clause 6.1.2 and, where the non-conformity is attributable to the Seller, shall at its sole expense</w:t>
      </w:r>
      <w:r>
        <w:rPr>
          <w:rFonts w:asciiTheme="minorHAnsi" w:hAnsiTheme="minorHAnsi" w:cstheme="minorHAnsi"/>
          <w:szCs w:val="22"/>
        </w:rPr>
        <w:t xml:space="preserve"> repair or replace the BESS or the defective components to the Buyer’s reasonable satisfaction within thirty (30) calendar days, including the cost of removal, transport and reinstallation.</w:t>
      </w:r>
    </w:p>
    <w:p w14:paraId="4D6B0673"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6.1.4 The Post-Delivery Inspection is not Site Acceptance. The absence of a notice within the Rejection Period does not amount to acceptance of the BESS and does not waive any right of the Buyer in respect of latent defects, concealed transport damage, non-conformity with the Specification, incomplete data or documentation, or any Performance Guarantee, all of which may be notified when discovered, including during commissioning or Site Acceptance Testing, as a non-conformity of the goods as delivered and separately from the warranty under Clause 7.</w:t>
      </w:r>
    </w:p>
    <w:p w14:paraId="1DE355FA" w14:textId="77777777" w:rsidR="009E333E" w:rsidRDefault="00000000">
      <w:pPr>
        <w:pStyle w:val="Heading2"/>
        <w:spacing w:before="200" w:after="80"/>
        <w:ind w:left="360"/>
        <w:rPr>
          <w:rFonts w:asciiTheme="minorHAnsi" w:hAnsiTheme="minorHAnsi" w:cstheme="minorHAnsi"/>
          <w:szCs w:val="22"/>
        </w:rPr>
      </w:pPr>
      <w:r>
        <w:rPr>
          <w:rFonts w:asciiTheme="minorHAnsi" w:hAnsiTheme="minorHAnsi" w:cstheme="minorHAnsi"/>
          <w:szCs w:val="22"/>
        </w:rPr>
        <w:lastRenderedPageBreak/>
        <w:t>6.2 Commissioning and Site Acceptance</w:t>
      </w:r>
    </w:p>
    <w:p w14:paraId="35661663"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6.2.1 Not later than thirty (30) calendar days before the planned start of commissioning the Seller shall submit for the Buyer’s approval a commissioning plan covering each activity, its performer and schedule, the test instruments and their calibration status, the safety, fire and thermal management tests, the training sessions and the emergency procedures, together with the responsibility matrix and switching authorisation procedure of </w:t>
      </w:r>
      <w:r>
        <w:rPr>
          <w:rFonts w:asciiTheme="minorHAnsi" w:hAnsiTheme="minorHAnsi" w:cstheme="minorHAnsi"/>
          <w:szCs w:val="22"/>
          <w:highlight w:val="cyan"/>
        </w:rPr>
        <w:t>APPENDIX J</w:t>
      </w:r>
      <w:r>
        <w:rPr>
          <w:rFonts w:asciiTheme="minorHAnsi" w:hAnsiTheme="minorHAnsi" w:cstheme="minorHAnsi"/>
          <w:szCs w:val="22"/>
        </w:rPr>
        <w:t>. The Seller shall provide qualified commissioning engineers on site, at its own cost, throughout commissioning and Site Acceptance Testing.</w:t>
      </w:r>
    </w:p>
    <w:p w14:paraId="2875A125" w14:textId="6F79C856"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6.2.2 Commissioning proceeds through three hold points, each signed off in writing by the Buyer or the Selected Third-Party before the next starts: (a) pre-commissioning, during which no part of the BESS is energised; (b) commissioning, comprising start-up and subsystem tests and </w:t>
      </w:r>
      <w:r>
        <w:rPr>
          <w:rFonts w:asciiTheme="minorHAnsi" w:hAnsiTheme="minorHAnsi" w:cstheme="minorHAnsi"/>
          <w:szCs w:val="22"/>
        </w:rPr>
        <w:t>ending with the temporary or test energisation permission required to conduct Site Acceptance Testing</w:t>
      </w:r>
      <w:r>
        <w:rPr>
          <w:rFonts w:asciiTheme="minorHAnsi" w:hAnsiTheme="minorHAnsi" w:cstheme="minorHAnsi"/>
          <w:szCs w:val="22"/>
        </w:rPr>
        <w:t xml:space="preserve">; and (c) Site Acceptance Testing in accordance with </w:t>
      </w:r>
      <w:r>
        <w:rPr>
          <w:rFonts w:asciiTheme="minorHAnsi" w:hAnsiTheme="minorHAnsi" w:cstheme="minorHAnsi"/>
          <w:szCs w:val="22"/>
          <w:highlight w:val="cyan"/>
        </w:rPr>
        <w:t>APPENDIX J</w:t>
      </w:r>
      <w:r>
        <w:rPr>
          <w:rFonts w:asciiTheme="minorHAnsi" w:hAnsiTheme="minorHAnsi" w:cstheme="minorHAnsi"/>
          <w:szCs w:val="22"/>
        </w:rPr>
        <w:t>.</w:t>
      </w:r>
    </w:p>
    <w:p w14:paraId="43B3BF5D"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6.2.3 Site Acceptance Testing repeats, for every container, the basic functional tests and the performance test performed at FAT, under the same duty cycle and data recording requirements as Clause 5.1.8, so that site results can be compared with factory results. </w:t>
      </w:r>
      <w:r>
        <w:rPr>
          <w:rFonts w:asciiTheme="minorHAnsi" w:hAnsiTheme="minorHAnsi" w:cstheme="minorHAnsi"/>
          <w:szCs w:val="22"/>
          <w:highlight w:val="cyan"/>
        </w:rPr>
        <w:t>APPENDIX J</w:t>
      </w:r>
      <w:r>
        <w:rPr>
          <w:rFonts w:asciiTheme="minorHAnsi" w:hAnsiTheme="minorHAnsi" w:cstheme="minorHAnsi"/>
          <w:szCs w:val="22"/>
        </w:rPr>
        <w:t xml:space="preserve"> states the method for correcting measured capacity and efficiency for the difference between factory and site ambient temperature and the maximum permitted deviation between FAT and SAT results; a container outside that tolerance is non-conforming and the Seller shall identify and remedy the cause at its cost before acceptance.</w:t>
      </w:r>
    </w:p>
    <w:p w14:paraId="61C13218" w14:textId="5ADD8A10"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6.2.4 Subject to any shortfall expressly accepted in writing by the Buyer under Clause 6.2.5, Site Acceptance is achieved when (a)</w:t>
      </w:r>
      <w:r>
        <w:rPr>
          <w:rFonts w:asciiTheme="minorHAnsi" w:hAnsiTheme="minorHAnsi" w:cstheme="minorHAnsi"/>
          <w:szCs w:val="22"/>
        </w:rPr>
        <w:t xml:space="preserve"> all tests of </w:t>
      </w:r>
      <w:r>
        <w:rPr>
          <w:rFonts w:asciiTheme="minorHAnsi" w:hAnsiTheme="minorHAnsi" w:cstheme="minorHAnsi"/>
          <w:szCs w:val="22"/>
          <w:highlight w:val="cyan"/>
        </w:rPr>
        <w:t>APPENDIX J</w:t>
      </w:r>
      <w:r>
        <w:rPr>
          <w:rFonts w:asciiTheme="minorHAnsi" w:hAnsiTheme="minorHAnsi" w:cstheme="minorHAnsi"/>
          <w:szCs w:val="22"/>
        </w:rPr>
        <w:t xml:space="preserve"> have been passed without any unexpected alarm or protective trip, (b) the monitoring data of </w:t>
      </w:r>
      <w:r>
        <w:rPr>
          <w:rFonts w:asciiTheme="minorHAnsi" w:hAnsiTheme="minorHAnsi" w:cstheme="minorHAnsi"/>
          <w:szCs w:val="22"/>
          <w:highlight w:val="cyan"/>
        </w:rPr>
        <w:t>APPENDIX L</w:t>
      </w:r>
      <w:r>
        <w:rPr>
          <w:rFonts w:asciiTheme="minorHAnsi" w:hAnsiTheme="minorHAnsi" w:cstheme="minorHAnsi"/>
          <w:szCs w:val="22"/>
        </w:rPr>
        <w:t xml:space="preserve"> is flowing to the Buyer and the Selected Third-Party, </w:t>
      </w:r>
      <w:r>
        <w:rPr>
          <w:rFonts w:asciiTheme="minorHAnsi" w:hAnsiTheme="minorHAnsi" w:cstheme="minorHAnsi"/>
          <w:szCs w:val="22"/>
        </w:rPr>
        <w:t xml:space="preserve">(c) the final operating permission specified in </w:t>
      </w:r>
      <w:r>
        <w:rPr>
          <w:rFonts w:asciiTheme="minorHAnsi" w:hAnsiTheme="minorHAnsi" w:cstheme="minorHAnsi"/>
          <w:szCs w:val="22"/>
          <w:highlight w:val="cyan"/>
        </w:rPr>
        <w:t>APPENDIX J</w:t>
      </w:r>
      <w:r>
        <w:rPr>
          <w:rFonts w:asciiTheme="minorHAnsi" w:hAnsiTheme="minorHAnsi" w:cstheme="minorHAnsi"/>
          <w:szCs w:val="22"/>
        </w:rPr>
        <w:t xml:space="preserve"> has been obtained</w:t>
      </w:r>
      <w:r>
        <w:rPr>
          <w:rFonts w:asciiTheme="minorHAnsi" w:hAnsiTheme="minorHAnsi" w:cstheme="minorHAnsi"/>
          <w:szCs w:val="22"/>
        </w:rPr>
        <w:t xml:space="preserve">, (d) the BESS has operated under the Buyer’s intended dispatch for seven (7) consecutive days without any fault attributable to the BESS, (e) the documentation, training and warranty guarantee required by Clauses 6.3 and 6.11 have been delivered, and (f) no Critical Defect exists. </w:t>
      </w:r>
      <w:r>
        <w:rPr>
          <w:rFonts w:asciiTheme="minorHAnsi" w:hAnsiTheme="minorHAnsi" w:cstheme="minorHAnsi"/>
          <w:szCs w:val="22"/>
        </w:rPr>
        <w:t xml:space="preserve">Within </w:t>
      </w:r>
      <w:r>
        <w:rPr>
          <w:rFonts w:asciiTheme="minorHAnsi" w:hAnsiTheme="minorHAnsi" w:cstheme="minorHAnsi"/>
          <w:szCs w:val="22"/>
          <w:highlight w:val="yellow"/>
        </w:rPr>
        <w:t>[twenty-one (21)]</w:t>
      </w:r>
      <w:r>
        <w:rPr>
          <w:rFonts w:asciiTheme="minorHAnsi" w:hAnsiTheme="minorHAnsi" w:cstheme="minorHAnsi"/>
          <w:szCs w:val="22"/>
        </w:rPr>
        <w:t xml:space="preserve"> days after receipt of the Seller’s complete application demonstrating that all conditions of Site Acceptance are satisfied, the Buyer shall issue a Site Acceptance Certificate, which may list minor outstanding items with completion dates, or a notice identifying the conditions that are not met. The warranty periods run from the Warranty Commencement Date determined under Clause 7.1.5;</w:t>
      </w:r>
      <w:r>
        <w:rPr>
          <w:rFonts w:asciiTheme="minorHAnsi" w:hAnsiTheme="minorHAnsi" w:cstheme="minorHAnsi"/>
          <w:szCs w:val="22"/>
        </w:rPr>
        <w:t xml:space="preserve"> the certificate does not waive any Defect, listed or latent.</w:t>
      </w:r>
    </w:p>
    <w:p w14:paraId="4BAB9E5B" w14:textId="0006628E"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6.2.5 If the measured Useable Capacity or rated power at Site Acceptance is below </w:t>
      </w:r>
      <w:r>
        <w:rPr>
          <w:rFonts w:asciiTheme="minorHAnsi" w:hAnsiTheme="minorHAnsi" w:cstheme="minorHAnsi"/>
          <w:szCs w:val="22"/>
          <w:highlight w:val="yellow"/>
        </w:rPr>
        <w:t>[ninety-five per cent (95%)]</w:t>
      </w:r>
      <w:r>
        <w:rPr>
          <w:rFonts w:asciiTheme="minorHAnsi" w:hAnsiTheme="minorHAnsi" w:cstheme="minorHAnsi"/>
          <w:szCs w:val="22"/>
        </w:rPr>
        <w:t xml:space="preserve"> of the guaranteed value, or round-trip efficiency is more than </w:t>
      </w:r>
      <w:r>
        <w:rPr>
          <w:rFonts w:asciiTheme="minorHAnsi" w:hAnsiTheme="minorHAnsi" w:cstheme="minorHAnsi"/>
          <w:szCs w:val="22"/>
          <w:highlight w:val="yellow"/>
        </w:rPr>
        <w:t>[two (2)]</w:t>
      </w:r>
      <w:r>
        <w:rPr>
          <w:rFonts w:asciiTheme="minorHAnsi" w:hAnsiTheme="minorHAnsi" w:cstheme="minorHAnsi"/>
          <w:szCs w:val="22"/>
        </w:rPr>
        <w:t xml:space="preserve"> percentage points below the guaranteed value, the Buyer may require re-testing after remediation within </w:t>
      </w:r>
      <w:r>
        <w:rPr>
          <w:rFonts w:asciiTheme="minorHAnsi" w:hAnsiTheme="minorHAnsi" w:cstheme="minorHAnsi"/>
          <w:szCs w:val="22"/>
          <w:highlight w:val="yellow"/>
        </w:rPr>
        <w:t>[sixty (60)]</w:t>
      </w:r>
      <w:r>
        <w:rPr>
          <w:rFonts w:asciiTheme="minorHAnsi" w:hAnsiTheme="minorHAnsi" w:cstheme="minorHAnsi"/>
          <w:szCs w:val="22"/>
        </w:rPr>
        <w:t xml:space="preserve"> days or reject the affected units or the BESS, in which case the Seller shall remove them at its cost and refund all sums paid together with the Buyer’s costs of removal, reinstatement and replacement procurement. </w:t>
      </w:r>
      <w:r>
        <w:rPr>
          <w:rFonts w:asciiTheme="minorHAnsi" w:hAnsiTheme="minorHAnsi" w:cstheme="minorHAnsi"/>
          <w:szCs w:val="22"/>
        </w:rPr>
        <w:t xml:space="preserve">Where measured capacity and rated power are each at least </w:t>
      </w:r>
      <w:r>
        <w:rPr>
          <w:rFonts w:asciiTheme="minorHAnsi" w:hAnsiTheme="minorHAnsi" w:cstheme="minorHAnsi"/>
          <w:szCs w:val="22"/>
          <w:highlight w:val="yellow"/>
        </w:rPr>
        <w:t>[ninety-five per cent (95%)]</w:t>
      </w:r>
      <w:r>
        <w:rPr>
          <w:rFonts w:asciiTheme="minorHAnsi" w:hAnsiTheme="minorHAnsi" w:cstheme="minorHAnsi"/>
          <w:szCs w:val="22"/>
        </w:rPr>
        <w:t xml:space="preserve"> of their guaranteed values and round-trip efficiency is no more than </w:t>
      </w:r>
      <w:r>
        <w:rPr>
          <w:rFonts w:asciiTheme="minorHAnsi" w:hAnsiTheme="minorHAnsi" w:cstheme="minorHAnsi"/>
          <w:szCs w:val="22"/>
          <w:highlight w:val="yellow"/>
        </w:rPr>
        <w:t>[two (2)]</w:t>
      </w:r>
      <w:r>
        <w:rPr>
          <w:rFonts w:asciiTheme="minorHAnsi" w:hAnsiTheme="minorHAnsi" w:cstheme="minorHAnsi"/>
          <w:szCs w:val="22"/>
        </w:rPr>
        <w:t xml:space="preserve"> percentage points below its guaranteed value, but one or more guarantees are not met, the Buyer may accept the BESS</w:t>
      </w:r>
      <w:r>
        <w:rPr>
          <w:rFonts w:asciiTheme="minorHAnsi" w:hAnsiTheme="minorHAnsi" w:cstheme="minorHAnsi"/>
          <w:szCs w:val="22"/>
        </w:rPr>
        <w:t xml:space="preserve"> and claim performance liquidated damages under </w:t>
      </w:r>
      <w:r>
        <w:rPr>
          <w:rFonts w:asciiTheme="minorHAnsi" w:hAnsiTheme="minorHAnsi" w:cstheme="minorHAnsi"/>
          <w:szCs w:val="22"/>
          <w:highlight w:val="cyan"/>
        </w:rPr>
        <w:t>APPENDIX G</w:t>
      </w:r>
      <w:r>
        <w:rPr>
          <w:rFonts w:asciiTheme="minorHAnsi" w:hAnsiTheme="minorHAnsi" w:cstheme="minorHAnsi"/>
          <w:szCs w:val="22"/>
        </w:rPr>
        <w:t xml:space="preserve"> or require augmentation under Clause 7.2, without prejudice to the Seller’s continuing obligation to restore performance.</w:t>
      </w:r>
      <w:r>
        <w:rPr>
          <w:rFonts w:asciiTheme="minorHAnsi" w:hAnsiTheme="minorHAnsi" w:cstheme="minorHAnsi"/>
          <w:szCs w:val="22"/>
        </w:rPr>
        <w:t xml:space="preserve"> Acceptance of a performance shortfall does not permit any safety, legal, certification or cybersecurity non-compliance.</w:t>
      </w:r>
    </w:p>
    <w:p w14:paraId="11E6E885"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lastRenderedPageBreak/>
        <w:t xml:space="preserve">6.2.6 After replacement of a PCS, a battery rack or more than ten per cent (10%) of the modules of a container, after any Software update affecting protection settings, SOC or SOH estimation, balancing or control, or after a container has been relocated or out of service for more than sixty (60) consecutive days, the Seller shall repeat the relevant tests of </w:t>
      </w:r>
      <w:r>
        <w:rPr>
          <w:rFonts w:asciiTheme="minorHAnsi" w:hAnsiTheme="minorHAnsi" w:cstheme="minorHAnsi"/>
          <w:szCs w:val="22"/>
          <w:highlight w:val="cyan"/>
        </w:rPr>
        <w:t>APPENDIX J</w:t>
      </w:r>
      <w:r>
        <w:rPr>
          <w:rFonts w:asciiTheme="minorHAnsi" w:hAnsiTheme="minorHAnsi" w:cstheme="minorHAnsi"/>
          <w:szCs w:val="22"/>
        </w:rPr>
        <w:t xml:space="preserve"> on the affected units and update the tuning guide and as-built register before they return to service, at its own cost where the event is attributable to the Seller. Software updates shall be notified with release notes at least ten (10) Business Days before deployment and require the Buyer’s consent.</w:t>
      </w:r>
      <w:r>
        <w:rPr>
          <w:rFonts w:asciiTheme="minorHAnsi" w:hAnsiTheme="minorHAnsi" w:cstheme="minorHAnsi"/>
          <w:szCs w:val="22"/>
        </w:rPr>
        <w:t xml:space="preserve"> Software changes remain subject to Clause 4.4. For an urgent safety or cybersecurity update the Buyer may approve in writing a shorter notice period and an expedited change package; the Seller shall document the risk, validation, rollback and compensating controls before deployment to the extent practicable and complete the remaining records promptly afterwards.</w:t>
      </w:r>
    </w:p>
    <w:p w14:paraId="6272F986" w14:textId="77777777" w:rsidR="009E333E" w:rsidRDefault="00000000">
      <w:pPr>
        <w:pStyle w:val="Heading2"/>
        <w:spacing w:before="200" w:after="80"/>
        <w:ind w:left="360"/>
        <w:rPr>
          <w:rFonts w:asciiTheme="minorHAnsi" w:hAnsiTheme="minorHAnsi" w:cstheme="minorHAnsi"/>
          <w:szCs w:val="22"/>
        </w:rPr>
      </w:pPr>
      <w:r>
        <w:rPr>
          <w:rFonts w:asciiTheme="minorHAnsi" w:hAnsiTheme="minorHAnsi" w:cstheme="minorHAnsi"/>
          <w:szCs w:val="22"/>
        </w:rPr>
        <w:t>6.3 Installation, Documentation and Training</w:t>
      </w:r>
    </w:p>
    <w:p w14:paraId="6FDB8742"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6.3.1 The Seller shall deliver with each shipment the installation, assembly and safety instructions in English and, not later than thirty (30) calendar days before commissioning, the EMS, PCS and BMS register maps and communication protocol specifications. The Seller shall provide a qualified technical team for each project to train the Buyer’s local team and to support completion of commissioning.</w:t>
      </w:r>
    </w:p>
    <w:p w14:paraId="53E0D94D"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6.3.2 Before the Site Acceptance Certificate is issued the Seller shall deliver, in English and in editable electronic form: the operation and maintenance manual; a tuning guide recording every parameter set at commissioning, every firmware and Software version installed and the change log since FAT; the complete alarm and fault code list with recommended responses; the troubleshooting guide; start-up, normal shutdown, emergency shutdown and restart procedures; as-built drawings and the as-built serial register to cell batch level; the FAT and SAT reports with raw data and the exact test conditions, so that the tests can be repeated for annual capacity tests and warranty claims; a commissioning report with results, issues found and the punch list with closure dates; the safety data sheets; the emergency response plan for first responders; and the decommissioning and recycling plan. Final manuals and as-built records shall be updated after any modification, replacement or Software release, and the documents listed in </w:t>
      </w:r>
      <w:r>
        <w:rPr>
          <w:rFonts w:asciiTheme="minorHAnsi" w:hAnsiTheme="minorHAnsi" w:cstheme="minorHAnsi"/>
          <w:szCs w:val="22"/>
          <w:highlight w:val="cyan"/>
        </w:rPr>
        <w:t>APPENDIX S</w:t>
      </w:r>
      <w:r>
        <w:rPr>
          <w:rFonts w:asciiTheme="minorHAnsi" w:hAnsiTheme="minorHAnsi" w:cstheme="minorHAnsi"/>
          <w:szCs w:val="22"/>
        </w:rPr>
        <w:t xml:space="preserve"> are a condition of the final milestone payment.</w:t>
      </w:r>
    </w:p>
    <w:p w14:paraId="73FD2F38"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6.3.3 Before Site Acceptance the Seller shall deliver training on site, in English, to the Buyer’s engineering and asset-management personnel, the Buyer’s operation and maintenance contractor, local emergency responders and, on request, the network operator, covering safe operation, normal and abnormal operating modes, alarms, emergency shutdown and isolation, fire and hazardous-gas response, preventive maintenance under </w:t>
      </w:r>
      <w:r>
        <w:rPr>
          <w:rFonts w:asciiTheme="minorHAnsi" w:hAnsiTheme="minorHAnsi" w:cstheme="minorHAnsi"/>
          <w:szCs w:val="22"/>
          <w:highlight w:val="cyan"/>
        </w:rPr>
        <w:t>APPENDIX N</w:t>
      </w:r>
      <w:r>
        <w:rPr>
          <w:rFonts w:asciiTheme="minorHAnsi" w:hAnsiTheme="minorHAnsi" w:cstheme="minorHAnsi"/>
          <w:szCs w:val="22"/>
        </w:rPr>
        <w:t xml:space="preserve">, data access and export under </w:t>
      </w:r>
      <w:r>
        <w:rPr>
          <w:rFonts w:asciiTheme="minorHAnsi" w:hAnsiTheme="minorHAnsi" w:cstheme="minorHAnsi"/>
          <w:szCs w:val="22"/>
          <w:highlight w:val="cyan"/>
        </w:rPr>
        <w:t>APPENDIX L</w:t>
      </w:r>
      <w:r>
        <w:rPr>
          <w:rFonts w:asciiTheme="minorHAnsi" w:hAnsiTheme="minorHAnsi" w:cstheme="minorHAnsi"/>
          <w:szCs w:val="22"/>
        </w:rPr>
        <w:t>, cybersecurity procedures, Software updates, warranty conditions and escalation. The Seller shall provide editable training materials updated to the as-built configuration, issue attendance records and provide one refresher session per year during the Warranty Period at no additional charge. Completion of training is a condition of Site Acceptance, provided that unavailability of Buyer personnel on dates reasonably offered by the Seller does not delay Site Acceptance.</w:t>
      </w:r>
    </w:p>
    <w:p w14:paraId="530965CA"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6.3.4 Punch list items that do not prevent safe operation shall be closed within thirty (30) calendar days of the Site Acceptance Certificate; the Buyer may withhold a sum equal to twice the estimated cost of open items until closure.</w:t>
      </w:r>
    </w:p>
    <w:p w14:paraId="2A92C62F" w14:textId="77777777" w:rsidR="009E333E" w:rsidRDefault="00000000">
      <w:pPr>
        <w:pStyle w:val="Heading2"/>
        <w:spacing w:before="200" w:after="80"/>
        <w:ind w:left="360"/>
        <w:rPr>
          <w:rFonts w:asciiTheme="minorHAnsi" w:hAnsiTheme="minorHAnsi" w:cstheme="minorHAnsi"/>
          <w:szCs w:val="22"/>
        </w:rPr>
      </w:pPr>
      <w:r>
        <w:rPr>
          <w:rFonts w:asciiTheme="minorHAnsi" w:hAnsiTheme="minorHAnsi" w:cstheme="minorHAnsi"/>
          <w:szCs w:val="22"/>
        </w:rPr>
        <w:lastRenderedPageBreak/>
        <w:t>6.4 Site Services, Interfaces and Installation</w:t>
      </w:r>
    </w:p>
    <w:p w14:paraId="5BC9BDB5"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6.4.1 On Site, the Seller performs only the site services listed in </w:t>
      </w:r>
      <w:r>
        <w:rPr>
          <w:rFonts w:asciiTheme="minorHAnsi" w:hAnsiTheme="minorHAnsi" w:cstheme="minorHAnsi"/>
          <w:szCs w:val="22"/>
          <w:highlight w:val="cyan"/>
        </w:rPr>
        <w:t>APPENDIX J</w:t>
      </w:r>
      <w:r>
        <w:rPr>
          <w:rFonts w:asciiTheme="minorHAnsi" w:hAnsiTheme="minorHAnsi" w:cstheme="minorHAnsi"/>
          <w:szCs w:val="22"/>
        </w:rPr>
        <w:t xml:space="preserve"> (delivery supervision, unloading guidance, pre-commissioning checks, commissioning, Site Acceptance Testing, training, punch-list work and Defect rectification), in accordance with the Buyer’s site rules, permits and health and safety procedures and the interface responsibility matrix in </w:t>
      </w:r>
      <w:r>
        <w:rPr>
          <w:rFonts w:asciiTheme="minorHAnsi" w:hAnsiTheme="minorHAnsi" w:cstheme="minorHAnsi"/>
          <w:szCs w:val="22"/>
          <w:highlight w:val="cyan"/>
        </w:rPr>
        <w:t>APPENDIX J</w:t>
      </w:r>
      <w:r>
        <w:rPr>
          <w:rFonts w:asciiTheme="minorHAnsi" w:hAnsiTheme="minorHAnsi" w:cstheme="minorHAnsi"/>
          <w:szCs w:val="22"/>
        </w:rPr>
        <w:t>. The Buyer or its EPC contractor owns the overarching site health and safety plan; the Seller shall submit a scope-specific plan aligned with it for approval before mobilisation. The Seller shall provide suitably qualified personnel and shall bear their travel, accommodation and subsistence.</w:t>
      </w:r>
    </w:p>
    <w:p w14:paraId="657FB147"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6.4.2 The Buyer shall provide non-exclusive site access and the Buyer dependencies identified in </w:t>
      </w:r>
      <w:r>
        <w:rPr>
          <w:rFonts w:asciiTheme="minorHAnsi" w:hAnsiTheme="minorHAnsi" w:cstheme="minorHAnsi"/>
          <w:szCs w:val="22"/>
          <w:highlight w:val="cyan"/>
        </w:rPr>
        <w:t>APPENDIX J</w:t>
      </w:r>
      <w:r>
        <w:rPr>
          <w:rFonts w:asciiTheme="minorHAnsi" w:hAnsiTheme="minorHAnsi" w:cstheme="minorHAnsi"/>
          <w:szCs w:val="22"/>
        </w:rPr>
        <w:t xml:space="preserve"> (completed foundations and installation within the Buyer’s scope, auxiliary power, communications, earthing, protection settings and grid energisation permissions) by the dates in </w:t>
      </w:r>
      <w:r>
        <w:rPr>
          <w:rFonts w:asciiTheme="minorHAnsi" w:hAnsiTheme="minorHAnsi" w:cstheme="minorHAnsi"/>
          <w:szCs w:val="22"/>
          <w:highlight w:val="cyan"/>
        </w:rPr>
        <w:t>APPENDIX I</w:t>
      </w:r>
      <w:r>
        <w:rPr>
          <w:rFonts w:asciiTheme="minorHAnsi" w:hAnsiTheme="minorHAnsi" w:cstheme="minorHAnsi"/>
          <w:szCs w:val="22"/>
        </w:rPr>
        <w:t>. Where a Buyer dependency is late the Seller is entitled to a corresponding extension and to its reasonable documented remobilisation and re-test costs, without profit, as its sole relief.</w:t>
      </w:r>
    </w:p>
    <w:p w14:paraId="6EC0D98A"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6.4.3 The Seller is responsible for verifying the interfaces assigned to it, including mechanical and electrical connection, communications, protection coordination and fire-system integration, and shall notify the Buyer in writing of any installation condition it observes that may affect safety, performance or warranty before commissioning proceeds; failure to notify bars any later reliance on that condition.</w:t>
      </w:r>
    </w:p>
    <w:p w14:paraId="776680C9"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6.4.4 Where installation is performed by the Buyer or its EPC contractor, the Seller shall, as part of the Contract Price, provide the installation specification, supervise the critical installation steps identified in </w:t>
      </w:r>
      <w:r>
        <w:rPr>
          <w:rFonts w:asciiTheme="minorHAnsi" w:hAnsiTheme="minorHAnsi" w:cstheme="minorHAnsi"/>
          <w:szCs w:val="22"/>
          <w:highlight w:val="cyan"/>
        </w:rPr>
        <w:t>APPENDIX J</w:t>
      </w:r>
      <w:r>
        <w:rPr>
          <w:rFonts w:asciiTheme="minorHAnsi" w:hAnsiTheme="minorHAnsi" w:cstheme="minorHAnsi"/>
          <w:szCs w:val="22"/>
        </w:rPr>
        <w:t xml:space="preserve"> and certify in writing before commissioning that the installation complies with its requirements. The Seller shall not make any warranty conditional on installation by an installer authorised by the Seller; if the Seller requires installer qualification, it shall train and qualify the Buyer’s contractor at no additional cost. Any installation deficiency the Seller observes but does not notify before commissioning cannot later be relied on as a warranty exclusion.</w:t>
      </w:r>
    </w:p>
    <w:p w14:paraId="32679063" w14:textId="77777777" w:rsidR="009E333E" w:rsidRDefault="00000000">
      <w:pPr>
        <w:pStyle w:val="Heading2"/>
        <w:spacing w:before="200" w:after="80"/>
        <w:ind w:left="360"/>
        <w:rPr>
          <w:rFonts w:asciiTheme="minorHAnsi" w:hAnsiTheme="minorHAnsi" w:cstheme="minorHAnsi"/>
          <w:szCs w:val="22"/>
        </w:rPr>
      </w:pPr>
      <w:r>
        <w:rPr>
          <w:rFonts w:asciiTheme="minorHAnsi" w:hAnsiTheme="minorHAnsi" w:cstheme="minorHAnsi"/>
          <w:szCs w:val="22"/>
        </w:rPr>
        <w:t>6.5 Battery Analytics Solutions (Quality Assurance and Diagnostics)</w:t>
      </w:r>
    </w:p>
    <w:p w14:paraId="4A1AF90F"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The Buyer has appointed, or may appoint, the Selected Third-Party to deliver the Battery Analytics Solutions, being the independent analysis of cell, module, rack and system data collected at Factory Acceptance Testing, Site Acceptance Testing and during operation, in accordance with </w:t>
      </w:r>
      <w:r>
        <w:rPr>
          <w:rFonts w:asciiTheme="minorHAnsi" w:hAnsiTheme="minorHAnsi" w:cstheme="minorHAnsi"/>
          <w:szCs w:val="22"/>
          <w:highlight w:val="cyan"/>
        </w:rPr>
        <w:t>APPENDIX M</w:t>
      </w:r>
      <w:r>
        <w:rPr>
          <w:rFonts w:asciiTheme="minorHAnsi" w:hAnsiTheme="minorHAnsi" w:cstheme="minorHAnsi"/>
          <w:szCs w:val="22"/>
        </w:rPr>
        <w:t xml:space="preserve"> (Battery Analytics Solutions Quality Control Process). The Seller shall supply the data, access and cooperation required for the Battery Analytics Solutions at no additional cost, and acknowledges that the results of the Battery Analytics Solutions may be relied on by the Buyer for rejection, acceptance, warranty and liquidated damages purposes under this Agreement.</w:t>
      </w:r>
    </w:p>
    <w:p w14:paraId="07D19F27" w14:textId="77777777" w:rsidR="009E333E" w:rsidRDefault="00000000">
      <w:pPr>
        <w:pStyle w:val="Heading2"/>
        <w:spacing w:before="200" w:after="80"/>
        <w:ind w:left="360"/>
        <w:rPr>
          <w:rFonts w:asciiTheme="minorHAnsi" w:hAnsiTheme="minorHAnsi" w:cstheme="minorHAnsi"/>
          <w:szCs w:val="22"/>
        </w:rPr>
      </w:pPr>
      <w:r>
        <w:rPr>
          <w:rFonts w:asciiTheme="minorHAnsi" w:hAnsiTheme="minorHAnsi" w:cstheme="minorHAnsi"/>
          <w:szCs w:val="22"/>
        </w:rPr>
        <w:t>6.6 Monitoring</w:t>
      </w:r>
    </w:p>
    <w:p w14:paraId="0FD34176"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6.6.1 The Seller shall ensure that all BESS units delivered under this Agreement are equipped and configured to provide continuous, real-time access to all parameters listed in </w:t>
      </w:r>
      <w:r>
        <w:rPr>
          <w:rFonts w:asciiTheme="minorHAnsi" w:hAnsiTheme="minorHAnsi" w:cstheme="minorHAnsi"/>
          <w:szCs w:val="22"/>
          <w:highlight w:val="cyan"/>
        </w:rPr>
        <w:t>APPENDIX L</w:t>
      </w:r>
      <w:r>
        <w:rPr>
          <w:rFonts w:asciiTheme="minorHAnsi" w:hAnsiTheme="minorHAnsi" w:cstheme="minorHAnsi"/>
          <w:szCs w:val="22"/>
        </w:rPr>
        <w:t xml:space="preserve"> (Data Monitoring) for 100% of containers, racks and packs. All monitoring data shall be traceable to unique identifiers at container, rack, pack and, where applicable, cell level.</w:t>
      </w:r>
    </w:p>
    <w:p w14:paraId="3682F860" w14:textId="4AD06BF3"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6.6.2 The data of </w:t>
      </w:r>
      <w:r>
        <w:rPr>
          <w:rFonts w:asciiTheme="minorHAnsi" w:hAnsiTheme="minorHAnsi" w:cstheme="minorHAnsi"/>
          <w:szCs w:val="22"/>
          <w:highlight w:val="cyan"/>
        </w:rPr>
        <w:t>APPENDIX L</w:t>
      </w:r>
      <w:r>
        <w:rPr>
          <w:rFonts w:asciiTheme="minorHAnsi" w:hAnsiTheme="minorHAnsi" w:cstheme="minorHAnsi"/>
          <w:szCs w:val="22"/>
        </w:rPr>
        <w:t xml:space="preserve"> </w:t>
      </w:r>
      <w:r>
        <w:rPr>
          <w:rFonts w:asciiTheme="minorHAnsi" w:hAnsiTheme="minorHAnsi" w:cstheme="minorHAnsi"/>
          <w:szCs w:val="22"/>
        </w:rPr>
        <w:t>shall be made available at cell level for voltage and temperature and at module, rack and container level for all other parameters,</w:t>
      </w:r>
      <w:r>
        <w:rPr>
          <w:rFonts w:asciiTheme="minorHAnsi" w:hAnsiTheme="minorHAnsi" w:cstheme="minorHAnsi"/>
          <w:szCs w:val="22"/>
        </w:rPr>
        <w:t xml:space="preserve"> at the sampling intervals stated in </w:t>
      </w:r>
      <w:r>
        <w:rPr>
          <w:rFonts w:asciiTheme="minorHAnsi" w:hAnsiTheme="minorHAnsi" w:cstheme="minorHAnsi"/>
          <w:szCs w:val="22"/>
          <w:highlight w:val="cyan"/>
        </w:rPr>
        <w:t>APPENDIX L</w:t>
      </w:r>
      <w:r>
        <w:rPr>
          <w:rFonts w:asciiTheme="minorHAnsi" w:hAnsiTheme="minorHAnsi" w:cstheme="minorHAnsi"/>
          <w:szCs w:val="22"/>
        </w:rPr>
        <w:t xml:space="preserve"> (not more than sixty (60) seconds, and one (1) second for current, power and any </w:t>
      </w:r>
      <w:r>
        <w:rPr>
          <w:rFonts w:asciiTheme="minorHAnsi" w:hAnsiTheme="minorHAnsi" w:cstheme="minorHAnsi"/>
          <w:szCs w:val="22"/>
        </w:rPr>
        <w:lastRenderedPageBreak/>
        <w:t xml:space="preserve">alarm or event), through a documented open interface (Modbus TCP, IEC 61850, OPC UA or an API specified in </w:t>
      </w:r>
      <w:r>
        <w:rPr>
          <w:rFonts w:asciiTheme="minorHAnsi" w:hAnsiTheme="minorHAnsi" w:cstheme="minorHAnsi"/>
          <w:szCs w:val="22"/>
          <w:highlight w:val="cyan"/>
        </w:rPr>
        <w:t>APPENDIX L</w:t>
      </w:r>
      <w:r>
        <w:rPr>
          <w:rFonts w:asciiTheme="minorHAnsi" w:hAnsiTheme="minorHAnsi" w:cstheme="minorHAnsi"/>
          <w:szCs w:val="22"/>
        </w:rPr>
        <w:t>) and as daily export files in a non-proprietary format.</w:t>
      </w:r>
    </w:p>
    <w:p w14:paraId="597F50AB"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6.6.3 The Buyer owns all data generated by the BESS and may give access to it, including direct connection to the interface, to any third party it nominates, including the Selected Third-Party for the Battery Analytics Solutions, without charge, consent or restriction from the Seller.</w:t>
      </w:r>
    </w:p>
    <w:p w14:paraId="04468924" w14:textId="4E08C1E3"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6.6.4 </w:t>
      </w:r>
      <w:r>
        <w:rPr>
          <w:rFonts w:asciiTheme="minorHAnsi" w:hAnsiTheme="minorHAnsi" w:cstheme="minorHAnsi"/>
          <w:szCs w:val="22"/>
        </w:rPr>
        <w:t xml:space="preserve">The Seller shall retain all raw monitoring data until the later of ten (10) years after Site Acceptance and the expiry of the last applicable Warranty Period, as stated in </w:t>
      </w:r>
      <w:r>
        <w:rPr>
          <w:rFonts w:asciiTheme="minorHAnsi" w:hAnsiTheme="minorHAnsi" w:cstheme="minorHAnsi"/>
          <w:szCs w:val="22"/>
          <w:highlight w:val="cyan"/>
        </w:rPr>
        <w:t>APPENDIX L</w:t>
      </w:r>
      <w:r>
        <w:rPr>
          <w:rFonts w:asciiTheme="minorHAnsi" w:hAnsiTheme="minorHAnsi" w:cstheme="minorHAnsi"/>
          <w:szCs w:val="22"/>
        </w:rPr>
        <w:t>, shall offer the Buyer a complete export before any deletion,</w:t>
      </w:r>
      <w:r>
        <w:rPr>
          <w:rFonts w:asciiTheme="minorHAnsi" w:hAnsiTheme="minorHAnsi" w:cstheme="minorHAnsi"/>
          <w:szCs w:val="22"/>
        </w:rPr>
        <w:t xml:space="preserve"> and shall deliver a complete historical export on request within ten (10) Business Days.</w:t>
      </w:r>
    </w:p>
    <w:p w14:paraId="2107D577"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6.6.5 No licence fee, subscription or cloud dependency shall be required to obtain the data, and loss of any Seller cloud service shall not interrupt local access.</w:t>
      </w:r>
    </w:p>
    <w:p w14:paraId="4494F03A"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6.6.6 Performance, availability and degradation figures reported by the Seller have no evidential priority over figures derived by the Buyer or the Selected Third-Party from the same data.</w:t>
      </w:r>
    </w:p>
    <w:p w14:paraId="20D0AB2D" w14:textId="77777777" w:rsidR="009E333E" w:rsidRDefault="00000000">
      <w:pPr>
        <w:pStyle w:val="Heading2"/>
        <w:spacing w:before="200" w:after="80"/>
        <w:ind w:left="360"/>
        <w:rPr>
          <w:rFonts w:asciiTheme="minorHAnsi" w:hAnsiTheme="minorHAnsi" w:cstheme="minorHAnsi"/>
          <w:szCs w:val="22"/>
        </w:rPr>
      </w:pPr>
      <w:r>
        <w:rPr>
          <w:rFonts w:asciiTheme="minorHAnsi" w:hAnsiTheme="minorHAnsi" w:cstheme="minorHAnsi"/>
          <w:szCs w:val="22"/>
        </w:rPr>
        <w:t>6.7 Calibration and Maintenance</w:t>
      </w:r>
    </w:p>
    <w:p w14:paraId="0043A97B"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6.7.1 The Seller lists in </w:t>
      </w:r>
      <w:r>
        <w:rPr>
          <w:rFonts w:asciiTheme="minorHAnsi" w:hAnsiTheme="minorHAnsi" w:cstheme="minorHAnsi"/>
          <w:szCs w:val="22"/>
          <w:highlight w:val="cyan"/>
        </w:rPr>
        <w:t>APPENDIX N</w:t>
      </w:r>
      <w:r>
        <w:rPr>
          <w:rFonts w:asciiTheme="minorHAnsi" w:hAnsiTheme="minorHAnsi" w:cstheme="minorHAnsi"/>
          <w:szCs w:val="22"/>
        </w:rPr>
        <w:t xml:space="preserve"> (BESS Calibration and Maintenance Protocols) the tests and maintenance activities to be performed on a periodic basis in order to ensure the correct performance of the BESS.</w:t>
      </w:r>
    </w:p>
    <w:p w14:paraId="3EC975C7" w14:textId="41031322"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6.7.2 The Seller shall define in </w:t>
      </w:r>
      <w:r>
        <w:rPr>
          <w:rFonts w:asciiTheme="minorHAnsi" w:hAnsiTheme="minorHAnsi" w:cstheme="minorHAnsi"/>
          <w:szCs w:val="22"/>
          <w:highlight w:val="cyan"/>
        </w:rPr>
        <w:t>APPENDIX B</w:t>
      </w:r>
      <w:r>
        <w:rPr>
          <w:rFonts w:asciiTheme="minorHAnsi" w:hAnsiTheme="minorHAnsi" w:cstheme="minorHAnsi"/>
          <w:szCs w:val="22"/>
        </w:rPr>
        <w:t xml:space="preserve"> whether the SOC and SOH reported by the BMS are charge-based or energy-based, DC or AC side, nominal or net. </w:t>
      </w:r>
      <w:r>
        <w:rPr>
          <w:rFonts w:asciiTheme="minorHAnsi" w:hAnsiTheme="minorHAnsi" w:cstheme="minorHAnsi"/>
          <w:szCs w:val="22"/>
        </w:rPr>
        <w:t xml:space="preserve">The Seller guarantees that the SOC reported by the BMS is within three (3) percentage points of the independently determined reference SOC on the same charge-based or energy-based basis across the full operating SOC window, using the endpoint definition and reference measurement method stated in </w:t>
      </w:r>
      <w:r>
        <w:rPr>
          <w:rFonts w:asciiTheme="minorHAnsi" w:hAnsiTheme="minorHAnsi" w:cstheme="minorHAnsi"/>
          <w:szCs w:val="22"/>
          <w:highlight w:val="cyan"/>
        </w:rPr>
        <w:t>APPENDIX J</w:t>
      </w:r>
      <w:r>
        <w:rPr>
          <w:rFonts w:asciiTheme="minorHAnsi" w:hAnsiTheme="minorHAnsi" w:cstheme="minorHAnsi"/>
          <w:szCs w:val="22"/>
        </w:rPr>
        <w:t>, which shall specify the current or energy integration method, the losses, the reference capacity and the measurement uncertainty.</w:t>
      </w:r>
      <w:r>
        <w:rPr>
          <w:rFonts w:asciiTheme="minorHAnsi" w:hAnsiTheme="minorHAnsi" w:cstheme="minorHAnsi"/>
          <w:szCs w:val="22"/>
        </w:rPr>
        <w:t xml:space="preserve"> SOC accuracy is verified by a full charge and full discharge test at Site Acceptance and at each annual performance test, with the error recorded at not fewer than five SOC points. The Seller shall state in </w:t>
      </w:r>
      <w:r>
        <w:rPr>
          <w:rFonts w:asciiTheme="minorHAnsi" w:hAnsiTheme="minorHAnsi" w:cstheme="minorHAnsi"/>
          <w:szCs w:val="22"/>
          <w:highlight w:val="cyan"/>
        </w:rPr>
        <w:t>APPENDIX N</w:t>
      </w:r>
      <w:r>
        <w:rPr>
          <w:rFonts w:asciiTheme="minorHAnsi" w:hAnsiTheme="minorHAnsi" w:cstheme="minorHAnsi"/>
          <w:szCs w:val="22"/>
        </w:rPr>
        <w:t xml:space="preserve"> the frequency, duration and operating restrictions of any SOC recalibration or balancing cycle it requires; time during which the BESS cannot be dispatched for such cycles counts as unavailable time under Clause 7.3 unless the cycle is scheduled with the Buyer’s prior agreement.</w:t>
      </w:r>
    </w:p>
    <w:p w14:paraId="51B81F92" w14:textId="2E01C7E2" w:rsidR="009E333E" w:rsidRDefault="00000000">
      <w:pPr>
        <w:pStyle w:val="Heading2"/>
        <w:spacing w:before="200" w:after="80"/>
        <w:ind w:left="360"/>
        <w:rPr>
          <w:rFonts w:asciiTheme="minorHAnsi" w:hAnsiTheme="minorHAnsi" w:cstheme="minorHAnsi"/>
          <w:szCs w:val="22"/>
        </w:rPr>
      </w:pPr>
      <w:r>
        <w:rPr>
          <w:rFonts w:asciiTheme="minorHAnsi" w:hAnsiTheme="minorHAnsi" w:cstheme="minorHAnsi"/>
          <w:szCs w:val="22"/>
        </w:rPr>
        <w:t>6.8 Post-Commissioning Support and Spare Parts</w:t>
      </w:r>
    </w:p>
    <w:p w14:paraId="1FA008D2"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6.8.1 The Seller shall provide remote and on-site technical support for the BESS in accordance with the support process and response times set out in </w:t>
      </w:r>
      <w:r>
        <w:rPr>
          <w:rFonts w:asciiTheme="minorHAnsi" w:hAnsiTheme="minorHAnsi" w:cstheme="minorHAnsi"/>
          <w:szCs w:val="22"/>
          <w:highlight w:val="cyan"/>
        </w:rPr>
        <w:t>APPENDIX P</w:t>
      </w:r>
      <w:r>
        <w:rPr>
          <w:rFonts w:asciiTheme="minorHAnsi" w:hAnsiTheme="minorHAnsi" w:cstheme="minorHAnsi"/>
          <w:szCs w:val="22"/>
        </w:rPr>
        <w:t xml:space="preserve"> (Support, Service Levels and Spare Parts), which forms an integral part of this Agreement. For issues attributable to BESS design or quality the expenses are borne by the Seller. Failure to meet the response or resolution times of </w:t>
      </w:r>
      <w:r>
        <w:rPr>
          <w:rFonts w:asciiTheme="minorHAnsi" w:hAnsiTheme="minorHAnsi" w:cstheme="minorHAnsi"/>
          <w:szCs w:val="22"/>
          <w:highlight w:val="cyan"/>
        </w:rPr>
        <w:t>APPENDIX P</w:t>
      </w:r>
      <w:r>
        <w:rPr>
          <w:rFonts w:asciiTheme="minorHAnsi" w:hAnsiTheme="minorHAnsi" w:cstheme="minorHAnsi"/>
          <w:szCs w:val="22"/>
        </w:rPr>
        <w:t xml:space="preserve"> on two occasions in any twelve (12) month period is a Material Breach.</w:t>
      </w:r>
    </w:p>
    <w:p w14:paraId="597F1F87"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6.8.2 The Seller shall ensure the availability of critical spare parts necessary for the operation and maintenance of the BESS for a minimum period of fifteen (15) years from the date of commissioning, in accordance with the spare parts list, lead times and pricing in </w:t>
      </w:r>
      <w:r>
        <w:rPr>
          <w:rFonts w:asciiTheme="minorHAnsi" w:hAnsiTheme="minorHAnsi" w:cstheme="minorHAnsi"/>
          <w:szCs w:val="22"/>
          <w:highlight w:val="cyan"/>
        </w:rPr>
        <w:t>APPENDIX P</w:t>
      </w:r>
      <w:r>
        <w:rPr>
          <w:rFonts w:asciiTheme="minorHAnsi" w:hAnsiTheme="minorHAnsi" w:cstheme="minorHAnsi"/>
          <w:szCs w:val="22"/>
        </w:rPr>
        <w:t>. Failure to supply critical spare parts within the agreed lead times is a Material Breach of this Agreement.</w:t>
      </w:r>
    </w:p>
    <w:p w14:paraId="7CE96391"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6.8.3 The Seller shall notify the Buyer at least twelve (12) months before it or any sub-supplier discontinues manufacture of any spare part, shall offer the Buyer the opportunity to purchase the </w:t>
      </w:r>
      <w:r>
        <w:rPr>
          <w:rFonts w:asciiTheme="minorHAnsi" w:hAnsiTheme="minorHAnsi" w:cstheme="minorHAnsi"/>
          <w:szCs w:val="22"/>
        </w:rPr>
        <w:lastRenderedPageBreak/>
        <w:t xml:space="preserve">quantities required for the remaining operating life at the </w:t>
      </w:r>
      <w:r>
        <w:rPr>
          <w:rFonts w:asciiTheme="minorHAnsi" w:hAnsiTheme="minorHAnsi" w:cstheme="minorHAnsi"/>
          <w:szCs w:val="22"/>
          <w:highlight w:val="cyan"/>
        </w:rPr>
        <w:t>APPENDIX P</w:t>
      </w:r>
      <w:r>
        <w:rPr>
          <w:rFonts w:asciiTheme="minorHAnsi" w:hAnsiTheme="minorHAnsi" w:cstheme="minorHAnsi"/>
          <w:szCs w:val="22"/>
        </w:rPr>
        <w:t xml:space="preserve"> prices, and shall otherwise qualify and supply a form, fit and function compatible replacement at no higher price and with no reduction of warranty. Spare parts not listed in </w:t>
      </w:r>
      <w:r>
        <w:rPr>
          <w:rFonts w:asciiTheme="minorHAnsi" w:hAnsiTheme="minorHAnsi" w:cstheme="minorHAnsi"/>
          <w:szCs w:val="22"/>
          <w:highlight w:val="cyan"/>
        </w:rPr>
        <w:t>APPENDIX P</w:t>
      </w:r>
      <w:r>
        <w:rPr>
          <w:rFonts w:asciiTheme="minorHAnsi" w:hAnsiTheme="minorHAnsi" w:cstheme="minorHAnsi"/>
          <w:szCs w:val="22"/>
        </w:rPr>
        <w:t xml:space="preserve"> shall be supplied at a price not exceeding the Seller’s standard list price consistently applied to comparable customers, and </w:t>
      </w:r>
      <w:r>
        <w:rPr>
          <w:rFonts w:asciiTheme="minorHAnsi" w:hAnsiTheme="minorHAnsi" w:cstheme="minorHAnsi"/>
          <w:szCs w:val="22"/>
          <w:highlight w:val="cyan"/>
        </w:rPr>
        <w:t>APPENDIX P</w:t>
      </w:r>
      <w:r>
        <w:rPr>
          <w:rFonts w:asciiTheme="minorHAnsi" w:hAnsiTheme="minorHAnsi" w:cstheme="minorHAnsi"/>
          <w:szCs w:val="22"/>
        </w:rPr>
        <w:t xml:space="preserve"> prices may be adjusted only annually in line with </w:t>
      </w:r>
      <w:r>
        <w:rPr>
          <w:rFonts w:asciiTheme="minorHAnsi" w:hAnsiTheme="minorHAnsi" w:cstheme="minorHAnsi"/>
          <w:szCs w:val="22"/>
          <w:highlight w:val="yellow"/>
        </w:rPr>
        <w:t>[an agreed index]</w:t>
      </w:r>
      <w:r>
        <w:rPr>
          <w:rFonts w:asciiTheme="minorHAnsi" w:hAnsiTheme="minorHAnsi" w:cstheme="minorHAnsi"/>
          <w:szCs w:val="22"/>
        </w:rPr>
        <w:t xml:space="preserve">. Spare cells and modules shall be of the same chemistry, format and manufacturer, with state of health and capacity matched to the installed fleet, and the Seller shall provide the BMS configuration needed to integrate them. Critical spares identified in </w:t>
      </w:r>
      <w:r>
        <w:rPr>
          <w:rFonts w:asciiTheme="minorHAnsi" w:hAnsiTheme="minorHAnsi" w:cstheme="minorHAnsi"/>
          <w:szCs w:val="22"/>
          <w:highlight w:val="cyan"/>
        </w:rPr>
        <w:t>APPENDIX P</w:t>
      </w:r>
      <w:r>
        <w:rPr>
          <w:rFonts w:asciiTheme="minorHAnsi" w:hAnsiTheme="minorHAnsi" w:cstheme="minorHAnsi"/>
          <w:szCs w:val="22"/>
        </w:rPr>
        <w:t xml:space="preserve"> as site stock shall be delivered with the BESS and are included in the Contract Price.</w:t>
      </w:r>
    </w:p>
    <w:p w14:paraId="209DB69A"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6.8.4 Long-term service offer. Not later than six (6) months before the scheduled Site Acceptance the Seller shall submit a proposal for long-term service, maintenance and performance monitoring covering at least the Warranty Period, with scope, response times, pricing and indexation held open for acceptance for not less than twelve (12) months after Site Acceptance. The Buyer is under no obligation to accept the proposal and Clause 7.6 applies.</w:t>
      </w:r>
    </w:p>
    <w:p w14:paraId="5D72EE43" w14:textId="77777777" w:rsidR="009E333E" w:rsidRDefault="00000000">
      <w:pPr>
        <w:pStyle w:val="Heading2"/>
        <w:spacing w:before="200" w:after="80"/>
        <w:ind w:left="360"/>
        <w:rPr>
          <w:rFonts w:asciiTheme="minorHAnsi" w:hAnsiTheme="minorHAnsi" w:cstheme="minorHAnsi"/>
          <w:szCs w:val="22"/>
        </w:rPr>
      </w:pPr>
      <w:r>
        <w:rPr>
          <w:rFonts w:asciiTheme="minorHAnsi" w:hAnsiTheme="minorHAnsi" w:cstheme="minorHAnsi"/>
          <w:szCs w:val="22"/>
        </w:rPr>
        <w:t>6.9 Useable Capacity of the BESS</w:t>
      </w:r>
    </w:p>
    <w:p w14:paraId="1D2B62A6" w14:textId="036B62B9"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6.9.1 The Useable Capacity of the BESS shall be as specified in </w:t>
      </w:r>
      <w:r>
        <w:rPr>
          <w:rFonts w:asciiTheme="minorHAnsi" w:hAnsiTheme="minorHAnsi" w:cstheme="minorHAnsi"/>
          <w:szCs w:val="22"/>
          <w:highlight w:val="cyan"/>
        </w:rPr>
        <w:t>APPENDIX A</w:t>
      </w:r>
      <w:r>
        <w:rPr>
          <w:rFonts w:asciiTheme="minorHAnsi" w:hAnsiTheme="minorHAnsi" w:cstheme="minorHAnsi"/>
          <w:szCs w:val="22"/>
        </w:rPr>
        <w:t xml:space="preserve"> (Purchase Order) and shall be expressed in MWh. </w:t>
      </w:r>
      <w:r>
        <w:rPr>
          <w:rFonts w:asciiTheme="minorHAnsi" w:hAnsiTheme="minorHAnsi" w:cstheme="minorHAnsi"/>
          <w:szCs w:val="22"/>
        </w:rPr>
        <w:t xml:space="preserve">The Useable Capacity is the net discharge energy, expressed in MWh, delivered at the point of measurement stated in </w:t>
      </w:r>
      <w:r>
        <w:rPr>
          <w:rFonts w:asciiTheme="minorHAnsi" w:hAnsiTheme="minorHAnsi" w:cstheme="minorHAnsi"/>
          <w:szCs w:val="22"/>
          <w:highlight w:val="cyan"/>
        </w:rPr>
        <w:t>APPENDIX A</w:t>
      </w:r>
      <w:r>
        <w:rPr>
          <w:rFonts w:asciiTheme="minorHAnsi" w:hAnsiTheme="minorHAnsi" w:cstheme="minorHAnsi"/>
          <w:szCs w:val="22"/>
        </w:rPr>
        <w:t xml:space="preserve"> over the discharge test of </w:t>
      </w:r>
      <w:r>
        <w:rPr>
          <w:rFonts w:asciiTheme="minorHAnsi" w:hAnsiTheme="minorHAnsi" w:cstheme="minorHAnsi"/>
          <w:szCs w:val="22"/>
          <w:highlight w:val="cyan"/>
        </w:rPr>
        <w:t>APPENDIX J</w:t>
      </w:r>
      <w:r>
        <w:rPr>
          <w:rFonts w:asciiTheme="minorHAnsi" w:hAnsiTheme="minorHAnsi" w:cstheme="minorHAnsi"/>
          <w:szCs w:val="22"/>
        </w:rPr>
        <w:t xml:space="preserve">, at the power, SOC window, depth of discharge, environmental conditions and auxiliary-energy treatment specified in </w:t>
      </w:r>
      <w:r>
        <w:rPr>
          <w:rFonts w:asciiTheme="minorHAnsi" w:hAnsiTheme="minorHAnsi" w:cstheme="minorHAnsi"/>
          <w:szCs w:val="22"/>
          <w:highlight w:val="cyan"/>
        </w:rPr>
        <w:t>APPENDIX B</w:t>
      </w:r>
      <w:r>
        <w:rPr>
          <w:rFonts w:asciiTheme="minorHAnsi" w:hAnsiTheme="minorHAnsi" w:cstheme="minorHAnsi"/>
          <w:szCs w:val="22"/>
        </w:rPr>
        <w:t xml:space="preserve"> (BESS Technical Specifications). No additional manufacturer restriction reduces that guarantee unless it is expressly incorporated into this Agreement.</w:t>
      </w:r>
    </w:p>
    <w:p w14:paraId="247439C5" w14:textId="7D34AA59"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6.9.2 The guaranteed Useable Capacity is the value expressly identified as the Performance Guarantee in </w:t>
      </w:r>
      <w:r>
        <w:rPr>
          <w:rFonts w:asciiTheme="minorHAnsi" w:hAnsiTheme="minorHAnsi" w:cstheme="minorHAnsi"/>
          <w:szCs w:val="22"/>
          <w:highlight w:val="cyan"/>
        </w:rPr>
        <w:t>APPENDIX A</w:t>
      </w:r>
      <w:r>
        <w:rPr>
          <w:rFonts w:asciiTheme="minorHAnsi" w:hAnsiTheme="minorHAnsi" w:cstheme="minorHAnsi"/>
          <w:szCs w:val="22"/>
        </w:rPr>
        <w:t xml:space="preserve"> (Purchase Order) at its stated point of measurement and test conditions, and is reflected in the performance warranty of </w:t>
      </w:r>
      <w:r>
        <w:rPr>
          <w:rFonts w:asciiTheme="minorHAnsi" w:hAnsiTheme="minorHAnsi" w:cstheme="minorHAnsi"/>
          <w:szCs w:val="22"/>
          <w:highlight w:val="cyan"/>
        </w:rPr>
        <w:t>APPENDIX G</w:t>
      </w:r>
      <w:r>
        <w:rPr>
          <w:rFonts w:asciiTheme="minorHAnsi" w:hAnsiTheme="minorHAnsi" w:cstheme="minorHAnsi"/>
          <w:szCs w:val="22"/>
        </w:rPr>
        <w:t>. Nominal, gross, DC-side or component-level values stated in any document shall not replace that guarantee, and the Seller shall not rely on any lower value of Useable Capacity stated in any document to limit its obligations or liability under this Agreement.</w:t>
      </w:r>
    </w:p>
    <w:p w14:paraId="19D90EA3" w14:textId="6CBAFA58"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6.9.3 The Useable Capacity, the guaranteed round-trip efficiency and the guaranteed power are each measured at the point of measurement stated in </w:t>
      </w:r>
      <w:r>
        <w:rPr>
          <w:rFonts w:asciiTheme="minorHAnsi" w:hAnsiTheme="minorHAnsi" w:cstheme="minorHAnsi"/>
          <w:szCs w:val="22"/>
          <w:highlight w:val="cyan"/>
        </w:rPr>
        <w:t>APPENDIX A</w:t>
      </w:r>
      <w:r>
        <w:rPr>
          <w:rFonts w:asciiTheme="minorHAnsi" w:hAnsiTheme="minorHAnsi" w:cstheme="minorHAnsi"/>
          <w:szCs w:val="22"/>
        </w:rPr>
        <w:t xml:space="preserve">, which unless otherwise stated is the AC side of the point of interconnection after the medium-voltage transformer, at rated power, within the SOC window and ambient conditions of </w:t>
      </w:r>
      <w:r>
        <w:rPr>
          <w:rFonts w:asciiTheme="minorHAnsi" w:hAnsiTheme="minorHAnsi" w:cstheme="minorHAnsi"/>
          <w:szCs w:val="22"/>
          <w:highlight w:val="cyan"/>
        </w:rPr>
        <w:t>APPENDIX B</w:t>
      </w:r>
      <w:r>
        <w:rPr>
          <w:rFonts w:asciiTheme="minorHAnsi" w:hAnsiTheme="minorHAnsi" w:cstheme="minorHAnsi"/>
          <w:szCs w:val="22"/>
        </w:rPr>
        <w:t xml:space="preserve"> and using the duty cycle of </w:t>
      </w:r>
      <w:r>
        <w:rPr>
          <w:rFonts w:asciiTheme="minorHAnsi" w:hAnsiTheme="minorHAnsi" w:cstheme="minorHAnsi"/>
          <w:szCs w:val="22"/>
          <w:highlight w:val="cyan"/>
        </w:rPr>
        <w:t>APPENDIX J</w:t>
      </w:r>
      <w:r>
        <w:rPr>
          <w:rFonts w:asciiTheme="minorHAnsi" w:hAnsiTheme="minorHAnsi" w:cstheme="minorHAnsi"/>
          <w:szCs w:val="22"/>
        </w:rPr>
        <w:t xml:space="preserve">. </w:t>
      </w:r>
      <w:r>
        <w:rPr>
          <w:rFonts w:asciiTheme="minorHAnsi" w:hAnsiTheme="minorHAnsi" w:cstheme="minorHAnsi"/>
          <w:szCs w:val="22"/>
        </w:rPr>
        <w:t xml:space="preserve">Round-trip efficiency is calculated in accordance with IEC 62933-2-1 as 100 × E_out / E_in for the agreed complete cycle, using the measurement boundary and rest periods stated in </w:t>
      </w:r>
      <w:r>
        <w:rPr>
          <w:rFonts w:asciiTheme="minorHAnsi" w:hAnsiTheme="minorHAnsi" w:cstheme="minorHAnsi"/>
          <w:szCs w:val="22"/>
          <w:highlight w:val="cyan"/>
        </w:rPr>
        <w:t>APPENDIX B</w:t>
      </w:r>
      <w:r>
        <w:rPr>
          <w:rFonts w:asciiTheme="minorHAnsi" w:hAnsiTheme="minorHAnsi" w:cstheme="minorHAnsi"/>
          <w:szCs w:val="22"/>
        </w:rPr>
        <w:t xml:space="preserve">. </w:t>
      </w:r>
      <w:r>
        <w:rPr>
          <w:rFonts w:asciiTheme="minorHAnsi" w:hAnsiTheme="minorHAnsi" w:cstheme="minorHAnsi"/>
          <w:szCs w:val="22"/>
          <w:highlight w:val="cyan"/>
        </w:rPr>
        <w:t>APPENDIX B</w:t>
      </w:r>
      <w:r>
        <w:rPr>
          <w:rFonts w:asciiTheme="minorHAnsi" w:hAnsiTheme="minorHAnsi" w:cstheme="minorHAnsi"/>
          <w:szCs w:val="22"/>
        </w:rPr>
        <w:t xml:space="preserve"> identifies every auxiliary supply and specifies how its metered energy enters the calculation, each energy flow being counted once only; auxiliary energy consumed during charge, discharge and rest is included in E_in unless </w:t>
      </w:r>
      <w:r>
        <w:rPr>
          <w:rFonts w:asciiTheme="minorHAnsi" w:hAnsiTheme="minorHAnsi" w:cstheme="minorHAnsi"/>
          <w:szCs w:val="22"/>
          <w:highlight w:val="cyan"/>
        </w:rPr>
        <w:t>APPENDIX B</w:t>
      </w:r>
      <w:r>
        <w:rPr>
          <w:rFonts w:asciiTheme="minorHAnsi" w:hAnsiTheme="minorHAnsi" w:cstheme="minorHAnsi"/>
          <w:szCs w:val="22"/>
        </w:rPr>
        <w:t xml:space="preserve"> expressly defines an auxiliary-exclusive efficiency guarantee together with a separate guaranteed auxiliary consumption in kWh per day, which is then also a warranted value.</w:t>
      </w:r>
      <w:r>
        <w:rPr>
          <w:rFonts w:asciiTheme="minorHAnsi" w:hAnsiTheme="minorHAnsi" w:cstheme="minorHAnsi"/>
          <w:szCs w:val="22"/>
        </w:rPr>
        <w:t xml:space="preserve"> Where the plant comprises several transformers or PCS blocks, </w:t>
      </w:r>
      <w:r>
        <w:rPr>
          <w:rFonts w:asciiTheme="minorHAnsi" w:hAnsiTheme="minorHAnsi" w:cstheme="minorHAnsi"/>
          <w:szCs w:val="22"/>
          <w:highlight w:val="cyan"/>
        </w:rPr>
        <w:t>APPENDIX G</w:t>
      </w:r>
      <w:r>
        <w:rPr>
          <w:rFonts w:asciiTheme="minorHAnsi" w:hAnsiTheme="minorHAnsi" w:cstheme="minorHAnsi"/>
          <w:szCs w:val="22"/>
        </w:rPr>
        <w:t xml:space="preserve"> states whether each block must individually meet the guaranteed values; site capacity and power are measured at the common measurement boundary or aggregated by the simultaneous test method agreed in </w:t>
      </w:r>
      <w:r>
        <w:rPr>
          <w:rFonts w:asciiTheme="minorHAnsi" w:hAnsiTheme="minorHAnsi" w:cstheme="minorHAnsi"/>
          <w:szCs w:val="22"/>
          <w:highlight w:val="cyan"/>
        </w:rPr>
        <w:t>APPENDIX J</w:t>
      </w:r>
      <w:r>
        <w:rPr>
          <w:rFonts w:asciiTheme="minorHAnsi" w:hAnsiTheme="minorHAnsi" w:cstheme="minorHAnsi"/>
          <w:szCs w:val="22"/>
        </w:rPr>
        <w:t>, site round-trip efficiency is total discharged energy divided by total charged energy within the agreed boundary, and Availability is aggregated under Clause 7.3.2.</w:t>
      </w:r>
      <w:r>
        <w:rPr>
          <w:rFonts w:asciiTheme="minorHAnsi" w:hAnsiTheme="minorHAnsi" w:cstheme="minorHAnsi"/>
          <w:szCs w:val="22"/>
        </w:rPr>
        <w:t xml:space="preserve"> Energy shall be measured with revenue-grade meters of accuracy class 0.5S or better.</w:t>
      </w:r>
    </w:p>
    <w:p w14:paraId="37135569" w14:textId="77777777" w:rsidR="009E333E" w:rsidRDefault="00000000">
      <w:pPr>
        <w:pStyle w:val="Heading2"/>
        <w:spacing w:before="200" w:after="80"/>
        <w:ind w:left="360"/>
        <w:rPr>
          <w:rFonts w:asciiTheme="minorHAnsi" w:hAnsiTheme="minorHAnsi" w:cstheme="minorHAnsi"/>
          <w:szCs w:val="22"/>
        </w:rPr>
      </w:pPr>
      <w:r>
        <w:rPr>
          <w:rFonts w:asciiTheme="minorHAnsi" w:hAnsiTheme="minorHAnsi" w:cstheme="minorHAnsi"/>
          <w:szCs w:val="22"/>
        </w:rPr>
        <w:lastRenderedPageBreak/>
        <w:t>6.10 Payment Terms, Ownership and Risk</w:t>
      </w:r>
    </w:p>
    <w:p w14:paraId="7BC080F2"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The payment schedule is further detailed in </w:t>
      </w:r>
      <w:r>
        <w:rPr>
          <w:rFonts w:asciiTheme="minorHAnsi" w:hAnsiTheme="minorHAnsi" w:cstheme="minorHAnsi"/>
          <w:szCs w:val="22"/>
          <w:highlight w:val="cyan"/>
        </w:rPr>
        <w:t>APPENDIX K</w:t>
      </w:r>
      <w:r>
        <w:rPr>
          <w:rFonts w:asciiTheme="minorHAnsi" w:hAnsiTheme="minorHAnsi" w:cstheme="minorHAnsi"/>
          <w:szCs w:val="22"/>
        </w:rPr>
        <w:t xml:space="preserve"> (Payment Schedule). The Contract Price is paid under one of the following options:</w:t>
      </w:r>
    </w:p>
    <w:p w14:paraId="231FC205"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Payment method selected: </w:t>
      </w:r>
      <w:r>
        <w:rPr>
          <w:rFonts w:asciiTheme="minorHAnsi" w:hAnsiTheme="minorHAnsi" w:cstheme="minorHAnsi"/>
          <w:szCs w:val="22"/>
          <w:highlight w:val="yellow"/>
        </w:rPr>
        <w:t>[Option 1 (Letter of Credit) / Option 2 (Wire Transfer)]</w:t>
      </w:r>
      <w:r>
        <w:rPr>
          <w:rFonts w:asciiTheme="minorHAnsi" w:hAnsiTheme="minorHAnsi" w:cstheme="minorHAnsi"/>
          <w:szCs w:val="22"/>
        </w:rPr>
        <w:t xml:space="preserve">. </w:t>
      </w:r>
      <w:r>
        <w:rPr>
          <w:rFonts w:asciiTheme="minorHAnsi" w:hAnsiTheme="minorHAnsi" w:cstheme="minorHAnsi"/>
          <w:szCs w:val="22"/>
          <w:highlight w:val="yellow"/>
        </w:rPr>
        <w:t>[Drafting note: delete the option that does not apply.]</w:t>
      </w:r>
    </w:p>
    <w:p w14:paraId="14630845"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6.10.1 Letter of Credit (Option 1). The Buyer may pay the Contract Price to the Seller by providing an original irrevocable Letter of Credit to the Seller within </w:t>
      </w:r>
      <w:r>
        <w:rPr>
          <w:rFonts w:asciiTheme="minorHAnsi" w:hAnsiTheme="minorHAnsi" w:cstheme="minorHAnsi"/>
          <w:szCs w:val="22"/>
          <w:highlight w:val="yellow"/>
        </w:rPr>
        <w:t>____</w:t>
      </w:r>
      <w:r>
        <w:rPr>
          <w:rFonts w:asciiTheme="minorHAnsi" w:hAnsiTheme="minorHAnsi" w:cstheme="minorHAnsi"/>
          <w:szCs w:val="22"/>
        </w:rPr>
        <w:t xml:space="preserve"> calendar days following the execution of this Agreement by both Parties. Such Letter of Credit shall be issued by a first-class bank acceptable to the Seller acting reasonably and shall be payable only against the milestone documents listed in </w:t>
      </w:r>
      <w:r>
        <w:rPr>
          <w:rFonts w:asciiTheme="minorHAnsi" w:hAnsiTheme="minorHAnsi" w:cstheme="minorHAnsi"/>
          <w:szCs w:val="22"/>
          <w:highlight w:val="cyan"/>
        </w:rPr>
        <w:t>APPENDIX K</w:t>
      </w:r>
      <w:r>
        <w:rPr>
          <w:rFonts w:asciiTheme="minorHAnsi" w:hAnsiTheme="minorHAnsi" w:cstheme="minorHAnsi"/>
          <w:szCs w:val="22"/>
        </w:rPr>
        <w:t>. The securities under Clause 6.11 are required under either payment option.</w:t>
      </w:r>
    </w:p>
    <w:p w14:paraId="3640F95D" w14:textId="445C77A6"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6.10.2 Payment by Wire Transfer (Option 2). The Buyer may pay the Contract Price by wire transfer to the Seller’s bank account indicated below in the milestone payments stated in </w:t>
      </w:r>
      <w:r>
        <w:rPr>
          <w:rFonts w:asciiTheme="minorHAnsi" w:hAnsiTheme="minorHAnsi" w:cstheme="minorHAnsi"/>
          <w:szCs w:val="22"/>
          <w:highlight w:val="cyan"/>
        </w:rPr>
        <w:t>APPENDIX K</w:t>
      </w:r>
      <w:r>
        <w:rPr>
          <w:rFonts w:asciiTheme="minorHAnsi" w:hAnsiTheme="minorHAnsi" w:cstheme="minorHAnsi"/>
          <w:szCs w:val="22"/>
        </w:rPr>
        <w:t xml:space="preserve"> (Payment Schedule) </w:t>
      </w:r>
      <w:r>
        <w:rPr>
          <w:rFonts w:asciiTheme="minorHAnsi" w:hAnsiTheme="minorHAnsi" w:cstheme="minorHAnsi"/>
          <w:szCs w:val="22"/>
          <w:highlight w:val="yellow"/>
        </w:rPr>
        <w:t xml:space="preserve">[typical structure: 10% on the Notice to Proceed to Manufacture against delivery of the Advance Payment Guarantee; 10% on no-objection to the design deliverables under Clause 4.9; </w:t>
      </w:r>
      <w:r>
        <w:rPr>
          <w:rFonts w:asciiTheme="minorHAnsi" w:hAnsiTheme="minorHAnsi" w:cstheme="minorHAnsi"/>
          <w:szCs w:val="22"/>
          <w:highlight w:val="yellow"/>
        </w:rPr>
        <w:t>50% of the allocated price of each batch on issue of its shipment release under Clause 5.1.11; 20% of the allocated price of each batch on its Delivery;</w:t>
      </w:r>
      <w:r>
        <w:rPr>
          <w:rFonts w:asciiTheme="minorHAnsi" w:hAnsiTheme="minorHAnsi" w:cstheme="minorHAnsi"/>
          <w:szCs w:val="22"/>
          <w:highlight w:val="yellow"/>
        </w:rPr>
        <w:t xml:space="preserve"> 10% on issue of the Site Acceptance Certificate]</w:t>
      </w:r>
      <w:r>
        <w:rPr>
          <w:rFonts w:asciiTheme="minorHAnsi" w:hAnsiTheme="minorHAnsi" w:cstheme="minorHAnsi"/>
          <w:szCs w:val="22"/>
        </w:rPr>
        <w:t xml:space="preserve">. Each milestone payment becomes due only on receipt of a correct invoice accompanied by the documents listed for that milestone in </w:t>
      </w:r>
      <w:r>
        <w:rPr>
          <w:rFonts w:asciiTheme="minorHAnsi" w:hAnsiTheme="minorHAnsi" w:cstheme="minorHAnsi"/>
          <w:szCs w:val="22"/>
          <w:highlight w:val="cyan"/>
        </w:rPr>
        <w:t>APPENDIX K</w:t>
      </w:r>
      <w:r>
        <w:rPr>
          <w:rFonts w:asciiTheme="minorHAnsi" w:hAnsiTheme="minorHAnsi" w:cstheme="minorHAnsi"/>
          <w:szCs w:val="22"/>
        </w:rPr>
        <w:t xml:space="preserve"> (including, as applicable, the shipment release, delivery documentation, Site Acceptance Certificate and the securities required by Clause 6.11), </w:t>
      </w:r>
      <w:r>
        <w:rPr>
          <w:rFonts w:asciiTheme="minorHAnsi" w:hAnsiTheme="minorHAnsi" w:cstheme="minorHAnsi"/>
          <w:szCs w:val="22"/>
        </w:rPr>
        <w:t xml:space="preserve">and only if the preceding milestones applicable to the relevant batch and any project-wide prerequisite identified in </w:t>
      </w:r>
      <w:r>
        <w:rPr>
          <w:rFonts w:asciiTheme="minorHAnsi" w:hAnsiTheme="minorHAnsi" w:cstheme="minorHAnsi"/>
          <w:szCs w:val="22"/>
          <w:highlight w:val="cyan"/>
        </w:rPr>
        <w:t>APPENDIX K</w:t>
      </w:r>
      <w:r>
        <w:rPr>
          <w:rFonts w:asciiTheme="minorHAnsi" w:hAnsiTheme="minorHAnsi" w:cstheme="minorHAnsi"/>
          <w:szCs w:val="22"/>
        </w:rPr>
        <w:t xml:space="preserve"> have been achieved; the allocated batch prices together equal the Contract Price and the sum of all milestone payments shall not exceed the Contract Price as adjusted under this Agreement;</w:t>
      </w:r>
      <w:r>
        <w:rPr>
          <w:rFonts w:asciiTheme="minorHAnsi" w:hAnsiTheme="minorHAnsi" w:cstheme="minorHAnsi"/>
          <w:szCs w:val="22"/>
        </w:rPr>
        <w:t xml:space="preserve"> the Buyer shall pay within thirty (30) calendar days of receipt of a compliant invoice.</w:t>
      </w:r>
    </w:p>
    <w:p w14:paraId="75AB2465"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Seller’s bank account information: BENEFICIARY: </w:t>
      </w:r>
      <w:r>
        <w:rPr>
          <w:rFonts w:asciiTheme="minorHAnsi" w:hAnsiTheme="minorHAnsi" w:cstheme="minorHAnsi"/>
          <w:szCs w:val="22"/>
          <w:highlight w:val="yellow"/>
        </w:rPr>
        <w:t>________</w:t>
      </w:r>
      <w:r>
        <w:rPr>
          <w:rFonts w:asciiTheme="minorHAnsi" w:hAnsiTheme="minorHAnsi" w:cstheme="minorHAnsi"/>
          <w:szCs w:val="22"/>
        </w:rPr>
        <w:t xml:space="preserve"> ; BANK NAME: </w:t>
      </w:r>
      <w:r>
        <w:rPr>
          <w:rFonts w:asciiTheme="minorHAnsi" w:hAnsiTheme="minorHAnsi" w:cstheme="minorHAnsi"/>
          <w:szCs w:val="22"/>
          <w:highlight w:val="yellow"/>
        </w:rPr>
        <w:t>________</w:t>
      </w:r>
      <w:r>
        <w:rPr>
          <w:rFonts w:asciiTheme="minorHAnsi" w:hAnsiTheme="minorHAnsi" w:cstheme="minorHAnsi"/>
          <w:szCs w:val="22"/>
        </w:rPr>
        <w:t xml:space="preserve"> ; BRANCH: </w:t>
      </w:r>
      <w:r>
        <w:rPr>
          <w:rFonts w:asciiTheme="minorHAnsi" w:hAnsiTheme="minorHAnsi" w:cstheme="minorHAnsi"/>
          <w:szCs w:val="22"/>
          <w:highlight w:val="yellow"/>
        </w:rPr>
        <w:t>________</w:t>
      </w:r>
      <w:r>
        <w:rPr>
          <w:rFonts w:asciiTheme="minorHAnsi" w:hAnsiTheme="minorHAnsi" w:cstheme="minorHAnsi"/>
          <w:szCs w:val="22"/>
        </w:rPr>
        <w:t xml:space="preserve"> ; ACCOUNT NUMBER: </w:t>
      </w:r>
      <w:r>
        <w:rPr>
          <w:rFonts w:asciiTheme="minorHAnsi" w:hAnsiTheme="minorHAnsi" w:cstheme="minorHAnsi"/>
          <w:szCs w:val="22"/>
          <w:highlight w:val="yellow"/>
        </w:rPr>
        <w:t>________</w:t>
      </w:r>
      <w:r>
        <w:rPr>
          <w:rFonts w:asciiTheme="minorHAnsi" w:hAnsiTheme="minorHAnsi" w:cstheme="minorHAnsi"/>
          <w:szCs w:val="22"/>
        </w:rPr>
        <w:t xml:space="preserve"> ; IBAN: </w:t>
      </w:r>
      <w:r>
        <w:rPr>
          <w:rFonts w:asciiTheme="minorHAnsi" w:hAnsiTheme="minorHAnsi" w:cstheme="minorHAnsi"/>
          <w:szCs w:val="22"/>
          <w:highlight w:val="yellow"/>
        </w:rPr>
        <w:t>________</w:t>
      </w:r>
      <w:r>
        <w:rPr>
          <w:rFonts w:asciiTheme="minorHAnsi" w:hAnsiTheme="minorHAnsi" w:cstheme="minorHAnsi"/>
          <w:szCs w:val="22"/>
        </w:rPr>
        <w:t xml:space="preserve"> ; SWIFT: </w:t>
      </w:r>
      <w:r>
        <w:rPr>
          <w:rFonts w:asciiTheme="minorHAnsi" w:hAnsiTheme="minorHAnsi" w:cstheme="minorHAnsi"/>
          <w:szCs w:val="22"/>
          <w:highlight w:val="yellow"/>
        </w:rPr>
        <w:t>________</w:t>
      </w:r>
      <w:r>
        <w:rPr>
          <w:rFonts w:asciiTheme="minorHAnsi" w:hAnsiTheme="minorHAnsi" w:cstheme="minorHAnsi"/>
          <w:szCs w:val="22"/>
        </w:rPr>
        <w:t xml:space="preserve"> .</w:t>
      </w:r>
    </w:p>
    <w:p w14:paraId="41A03F10"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6.10.3 Ownership. Ownership of each BESS unit, together with its Software licence, documentation and spare parts, passes to the Buyer, free of any third-party rights, as soon as the Buyer has paid any amount for that unit or, if earlier, when the unit has been unloaded at the </w:t>
      </w:r>
      <w:r>
        <w:rPr>
          <w:rFonts w:asciiTheme="minorHAnsi" w:hAnsiTheme="minorHAnsi" w:cstheme="minorHAnsi"/>
          <w:szCs w:val="22"/>
          <w:highlight w:val="yellow"/>
        </w:rPr>
        <w:t>Named Place of Destination</w:t>
      </w:r>
      <w:r>
        <w:rPr>
          <w:rFonts w:asciiTheme="minorHAnsi" w:hAnsiTheme="minorHAnsi" w:cstheme="minorHAnsi"/>
          <w:szCs w:val="22"/>
        </w:rPr>
        <w:t>.</w:t>
      </w:r>
      <w:r>
        <w:rPr>
          <w:rFonts w:asciiTheme="minorHAnsi" w:hAnsiTheme="minorHAnsi" w:cstheme="minorHAnsi"/>
          <w:szCs w:val="22"/>
        </w:rPr>
        <w:t xml:space="preserve"> Where the relevant unit does not yet exist or is not yet identified, ownership passes, to the extent permitted by applicable law, to the materials and work in progress allocated to that unit as they come into existence and are irrevocably appropriated to this Agreement; the Seller shall identify, segregate and record those items and execute the documents reasonably required to protect the Buyer’s interest. The Advance Payment Guarantee remains in place until released under Clause 6.11.1.</w:t>
      </w:r>
      <w:r>
        <w:rPr>
          <w:rFonts w:asciiTheme="minorHAnsi" w:hAnsiTheme="minorHAnsi" w:cstheme="minorHAnsi"/>
          <w:szCs w:val="22"/>
        </w:rPr>
        <w:t xml:space="preserve"> If ownership passes while a unit is still at the Seller’s premises, the Seller shall mark it as the Buyer’s property, store it separately and insure it for its full replacement value in the Buyer’s favour. The Seller confirms that none of its suppliers keeps any ownership right over the BESS and shall indemnify the Buyer if a supplier claims otherwise.</w:t>
      </w:r>
    </w:p>
    <w:p w14:paraId="3BA012C4" w14:textId="70D389FF"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6.10.4 Risk. Notwithstanding the risk-transfer rules of the Incoterm selected in Clause 5.3, risk of loss or damage to the BESS stays with the Seller until the unit has been unloaded at the Site; this is an express contractual variation of the selected Incoterm, and responsibility for arranging and paying for carriage, import clearance and unloading is allocated separately in Clause 5.3. Risk returns</w:t>
      </w:r>
      <w:r>
        <w:rPr>
          <w:rFonts w:asciiTheme="minorHAnsi" w:hAnsiTheme="minorHAnsi" w:cstheme="minorHAnsi"/>
          <w:szCs w:val="22"/>
        </w:rPr>
        <w:t xml:space="preserve"> to the Seller for any unit sent back to it for repair or replacement until the unit is </w:t>
      </w:r>
      <w:r>
        <w:rPr>
          <w:rFonts w:asciiTheme="minorHAnsi" w:hAnsiTheme="minorHAnsi" w:cstheme="minorHAnsi"/>
          <w:szCs w:val="22"/>
        </w:rPr>
        <w:lastRenderedPageBreak/>
        <w:t>redelivered. Neither transfer of ownership nor transfer of risk means that the BESS has been accepted. Payment obligations are independent of ownership and risk.</w:t>
      </w:r>
    </w:p>
    <w:p w14:paraId="06FCCDC3"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6.10.5 Set-off. The Buyer may deduct from any payment, or recover as a debt, any amount due from the Seller under this Agreement, including liquidated damages, costs of self-remedy and indemnified losses, and may withhold any amount disputed in good faith by giving written reasons before the due date. The Seller may not withhold, suspend or set off except as expressly permitted by Clause 8.3.</w:t>
      </w:r>
    </w:p>
    <w:p w14:paraId="2B6E5C2D" w14:textId="77777777" w:rsidR="009E333E" w:rsidRDefault="00000000">
      <w:pPr>
        <w:pStyle w:val="Heading2"/>
        <w:spacing w:before="200" w:after="80"/>
        <w:ind w:left="360"/>
        <w:rPr>
          <w:rFonts w:asciiTheme="minorHAnsi" w:hAnsiTheme="minorHAnsi" w:cstheme="minorHAnsi"/>
          <w:szCs w:val="22"/>
        </w:rPr>
      </w:pPr>
      <w:r>
        <w:rPr>
          <w:rFonts w:asciiTheme="minorHAnsi" w:hAnsiTheme="minorHAnsi" w:cstheme="minorHAnsi"/>
          <w:szCs w:val="22"/>
        </w:rPr>
        <w:t>6.11 Security</w:t>
      </w:r>
    </w:p>
    <w:p w14:paraId="43D2F5E0" w14:textId="7E61DF83"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6.11.1 As a condition of any advance or milestone payment made before Delivery, the Seller shall deliver an unconditional, irrevocable, on-demand bank guarantee for the full amount of that payment (the “Advance Payment Guarantee”), issued by a bank rated at least </w:t>
      </w:r>
      <w:r>
        <w:rPr>
          <w:rFonts w:asciiTheme="minorHAnsi" w:hAnsiTheme="minorHAnsi" w:cstheme="minorHAnsi"/>
          <w:szCs w:val="22"/>
          <w:highlight w:val="yellow"/>
        </w:rPr>
        <w:t>[A- (S&amp;P) or A3 (Moody’s)]</w:t>
      </w:r>
      <w:r>
        <w:rPr>
          <w:rFonts w:asciiTheme="minorHAnsi" w:hAnsiTheme="minorHAnsi" w:cstheme="minorHAnsi"/>
          <w:szCs w:val="22"/>
        </w:rPr>
        <w:t xml:space="preserve"> and acceptable to the Buyer, </w:t>
      </w:r>
      <w:r>
        <w:rPr>
          <w:rFonts w:asciiTheme="minorHAnsi" w:hAnsiTheme="minorHAnsi" w:cstheme="minorHAnsi"/>
          <w:szCs w:val="22"/>
        </w:rPr>
        <w:t>reducing only by the amount of the secured payment allocated to units for which Delivery has occurred and only after the Buyer confirms that reduction in writing. The aggregate of outstanding Advance Payment Guarantees shall at all times cover all payments made before Delivery that have not been so released.</w:t>
      </w:r>
    </w:p>
    <w:p w14:paraId="0F2F6FD0" w14:textId="0BC8A9BE"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6.11.2 Within </w:t>
      </w:r>
      <w:r>
        <w:rPr>
          <w:rFonts w:asciiTheme="minorHAnsi" w:hAnsiTheme="minorHAnsi" w:cstheme="minorHAnsi"/>
          <w:szCs w:val="22"/>
          <w:highlight w:val="yellow"/>
        </w:rPr>
        <w:t>[twenty (20)]</w:t>
      </w:r>
      <w:r>
        <w:rPr>
          <w:rFonts w:asciiTheme="minorHAnsi" w:hAnsiTheme="minorHAnsi" w:cstheme="minorHAnsi"/>
          <w:szCs w:val="22"/>
        </w:rPr>
        <w:t xml:space="preserve"> Business Days of the Effective Date the Seller shall deliver an on-demand performance guarantee for </w:t>
      </w:r>
      <w:r>
        <w:rPr>
          <w:rFonts w:asciiTheme="minorHAnsi" w:hAnsiTheme="minorHAnsi" w:cstheme="minorHAnsi"/>
          <w:szCs w:val="22"/>
          <w:highlight w:val="yellow"/>
        </w:rPr>
        <w:t>[fifteen to twenty per cent (15 to 20%)]</w:t>
      </w:r>
      <w:r>
        <w:rPr>
          <w:rFonts w:asciiTheme="minorHAnsi" w:hAnsiTheme="minorHAnsi" w:cstheme="minorHAnsi"/>
          <w:szCs w:val="22"/>
        </w:rPr>
        <w:t xml:space="preserve"> of the Contract Price, </w:t>
      </w:r>
      <w:r>
        <w:rPr>
          <w:rFonts w:asciiTheme="minorHAnsi" w:hAnsiTheme="minorHAnsi" w:cstheme="minorHAnsi"/>
          <w:szCs w:val="22"/>
        </w:rPr>
        <w:t>valid until the Buyer has received an effective replacement warranty guarantee at Site Acceptance, without any gap in coverage, that replacement being a warranty guarantee</w:t>
      </w:r>
      <w:r>
        <w:rPr>
          <w:rFonts w:asciiTheme="minorHAnsi" w:hAnsiTheme="minorHAnsi" w:cstheme="minorHAnsi"/>
          <w:szCs w:val="22"/>
        </w:rPr>
        <w:t xml:space="preserve"> for </w:t>
      </w:r>
      <w:r>
        <w:rPr>
          <w:rFonts w:asciiTheme="minorHAnsi" w:hAnsiTheme="minorHAnsi" w:cstheme="minorHAnsi"/>
          <w:szCs w:val="22"/>
          <w:highlight w:val="yellow"/>
        </w:rPr>
        <w:t>[ten per cent (10%)]</w:t>
      </w:r>
      <w:r>
        <w:rPr>
          <w:rFonts w:asciiTheme="minorHAnsi" w:hAnsiTheme="minorHAnsi" w:cstheme="minorHAnsi"/>
          <w:szCs w:val="22"/>
        </w:rPr>
        <w:t xml:space="preserve"> of the Contract Price valid until </w:t>
      </w:r>
      <w:r>
        <w:rPr>
          <w:rFonts w:asciiTheme="minorHAnsi" w:hAnsiTheme="minorHAnsi" w:cstheme="minorHAnsi"/>
          <w:szCs w:val="22"/>
          <w:highlight w:val="yellow"/>
        </w:rPr>
        <w:t>[twenty-four (24)]</w:t>
      </w:r>
      <w:r>
        <w:rPr>
          <w:rFonts w:asciiTheme="minorHAnsi" w:hAnsiTheme="minorHAnsi" w:cstheme="minorHAnsi"/>
          <w:szCs w:val="22"/>
        </w:rPr>
        <w:t xml:space="preserve"> months after Site Acceptance or the end of the Warranty Period, whichever is later.</w:t>
      </w:r>
    </w:p>
    <w:p w14:paraId="29E14572"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6.11.3 If a security is not delivered when required or is not extended at least thirty (30) days before its expiry, or the issuer ceases to meet the rating test, the Buyer may withhold payments up to the amount of the missing security or demand payment of the full outstanding amount of the security until the Seller provides a compliant replacement, which it shall do within ten (10) Business Days.</w:t>
      </w:r>
    </w:p>
    <w:p w14:paraId="4231F9CF" w14:textId="2C2488F5"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6.11.4 The Buyer may call the security where the Seller fails to pay a sum agreed, determined or awarded within fourteen (14) days of its due date, fails to remedy a notified Defect or Serial Defect within the applicable period, becomes liable for liquidated damages, suffers an Insolvency Event, </w:t>
      </w:r>
      <w:r>
        <w:rPr>
          <w:rFonts w:asciiTheme="minorHAnsi" w:hAnsiTheme="minorHAnsi" w:cstheme="minorHAnsi"/>
          <w:szCs w:val="22"/>
        </w:rPr>
        <w:t>or where a termination of this Agreement gives rise to a secured amount due from the Seller. A call made to preserve an expiring or non-compliant security under Clause 6.11.3 does not determine the Buyer’s final entitlement to the proceeds; any excess over the secured liabilities shall be returned once those liabilities are resolved.</w:t>
      </w:r>
      <w:r>
        <w:rPr>
          <w:rFonts w:asciiTheme="minorHAnsi" w:hAnsiTheme="minorHAnsi" w:cstheme="minorHAnsi"/>
          <w:szCs w:val="22"/>
        </w:rPr>
        <w:t xml:space="preserve"> Where Variations raise the Contract Price by over ten per cent (10%), the Seller shall top up the security in the same proportion.</w:t>
      </w:r>
    </w:p>
    <w:p w14:paraId="12495A69"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6.11.5 Each security shall be governed by the law of this Agreement, payable on first written demand without proof of default or conditions, and shall be returned within twenty-one (21) days after its expiry.</w:t>
      </w:r>
    </w:p>
    <w:p w14:paraId="231E2A50" w14:textId="77777777" w:rsidR="009E333E" w:rsidRDefault="00000000">
      <w:pPr>
        <w:pStyle w:val="Heading2"/>
        <w:spacing w:before="200" w:after="80"/>
        <w:ind w:left="360"/>
        <w:rPr>
          <w:rFonts w:asciiTheme="minorHAnsi" w:hAnsiTheme="minorHAnsi" w:cstheme="minorHAnsi"/>
          <w:szCs w:val="22"/>
        </w:rPr>
      </w:pPr>
      <w:r>
        <w:rPr>
          <w:rFonts w:asciiTheme="minorHAnsi" w:hAnsiTheme="minorHAnsi" w:cstheme="minorHAnsi"/>
          <w:szCs w:val="22"/>
        </w:rPr>
        <w:t>6.12 Parent Company Guarantee</w:t>
      </w:r>
    </w:p>
    <w:p w14:paraId="574A136E"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Where the Seller is a subsidiary, regional trading entity or project vehicle, the Seller shall deliver on signature a guarantee from its ultimate parent company, or from another entity acceptable to the Buyer, in the form of </w:t>
      </w:r>
      <w:r>
        <w:rPr>
          <w:rFonts w:asciiTheme="minorHAnsi" w:hAnsiTheme="minorHAnsi" w:cstheme="minorHAnsi"/>
          <w:szCs w:val="22"/>
          <w:highlight w:val="cyan"/>
        </w:rPr>
        <w:t>APPENDIX Q</w:t>
      </w:r>
      <w:r>
        <w:rPr>
          <w:rFonts w:asciiTheme="minorHAnsi" w:hAnsiTheme="minorHAnsi" w:cstheme="minorHAnsi"/>
          <w:szCs w:val="22"/>
        </w:rPr>
        <w:t xml:space="preserve">, under which the guarantor guarantees as primary obligor the performance of every obligation of the Seller under this Agreement, together with evidence of the guarantor’s authority and, on request, a legal opinion on enforceability in the guarantor’s </w:t>
      </w:r>
      <w:r>
        <w:rPr>
          <w:rFonts w:asciiTheme="minorHAnsi" w:hAnsiTheme="minorHAnsi" w:cstheme="minorHAnsi"/>
          <w:szCs w:val="22"/>
        </w:rPr>
        <w:lastRenderedPageBreak/>
        <w:t>jurisdiction. If the guarantor suffers an Insolvency Event or disputes the validity of the guarantee, the Seller shall procure a replacement acceptable to the Buyer within ten (10) Business Days, failing which the Buyer may terminate under Clause 8.2.</w:t>
      </w:r>
    </w:p>
    <w:p w14:paraId="4FD85108" w14:textId="77777777" w:rsidR="009E333E" w:rsidRDefault="00000000">
      <w:pPr>
        <w:pStyle w:val="Heading1"/>
        <w:spacing w:after="120"/>
        <w:jc w:val="left"/>
        <w:rPr>
          <w:rFonts w:asciiTheme="minorHAnsi" w:hAnsiTheme="minorHAnsi" w:cstheme="minorHAnsi"/>
          <w:szCs w:val="22"/>
        </w:rPr>
      </w:pPr>
      <w:bookmarkStart w:id="8" w:name="_Toc242471397"/>
      <w:r>
        <w:rPr>
          <w:rFonts w:asciiTheme="minorHAnsi" w:hAnsiTheme="minorHAnsi" w:cstheme="minorHAnsi"/>
          <w:szCs w:val="22"/>
        </w:rPr>
        <w:t>7. Warranty</w:t>
      </w:r>
      <w:bookmarkEnd w:id="8"/>
    </w:p>
    <w:p w14:paraId="38A9733A" w14:textId="77777777" w:rsidR="009E333E" w:rsidRDefault="00000000">
      <w:pPr>
        <w:pStyle w:val="Heading2"/>
        <w:spacing w:before="200" w:after="80"/>
        <w:ind w:left="360"/>
        <w:rPr>
          <w:rFonts w:asciiTheme="minorHAnsi" w:hAnsiTheme="minorHAnsi" w:cstheme="minorHAnsi"/>
          <w:szCs w:val="22"/>
        </w:rPr>
      </w:pPr>
      <w:r>
        <w:rPr>
          <w:rFonts w:asciiTheme="minorHAnsi" w:hAnsiTheme="minorHAnsi" w:cstheme="minorHAnsi"/>
          <w:szCs w:val="22"/>
        </w:rPr>
        <w:t>7.1 Warranties</w:t>
      </w:r>
    </w:p>
    <w:p w14:paraId="57B6514F"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7.1.1 The Seller represents and warrants to the Buyer that the use, marketing, distribution or sale of the BESS purchased under this Agreement do not, at the Effective Date or at any time during the Warranty Period, infringe any third-party patent, trade secret, copyright, trademark or other intellectual property rights worldwide, and that it has the experience, financial standing, manufacturing capacity, licences and technical resources required to perform this Agreement.</w:t>
      </w:r>
    </w:p>
    <w:p w14:paraId="085A2A5B"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7.1.2 The Seller warrants that the BESS is designed, manufactured and delivered in accordance with applicable safety standards and shall not present undue risk of fire, thermal runaway or hazardous failure under normal operating conditions. The warranty applies equally to all hardware and software components of the BESS, including BMS, EMS and control systems, and covers defects, malfunctions and performance deviations arising from such components.</w:t>
      </w:r>
    </w:p>
    <w:p w14:paraId="061792B2" w14:textId="10A6FBEB"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7.1.3 The warranties set forth in </w:t>
      </w:r>
      <w:r>
        <w:rPr>
          <w:rFonts w:asciiTheme="minorHAnsi" w:hAnsiTheme="minorHAnsi" w:cstheme="minorHAnsi"/>
          <w:szCs w:val="22"/>
          <w:highlight w:val="cyan"/>
        </w:rPr>
        <w:t>APPENDIX G</w:t>
      </w:r>
      <w:r>
        <w:rPr>
          <w:rFonts w:asciiTheme="minorHAnsi" w:hAnsiTheme="minorHAnsi" w:cstheme="minorHAnsi"/>
          <w:szCs w:val="22"/>
        </w:rPr>
        <w:t xml:space="preserve"> (BESS Warranty) apply in addition to, and not in limitation of, any other rights and remedies available to the Buyer under this Agreement or applicable law. </w:t>
      </w:r>
      <w:r>
        <w:rPr>
          <w:rFonts w:asciiTheme="minorHAnsi" w:hAnsiTheme="minorHAnsi" w:cstheme="minorHAnsi"/>
          <w:szCs w:val="22"/>
        </w:rPr>
        <w:t>Subject to the express limitation and remedy provisions of Clauses 5.5 and 14.1, the warranties do not restrict the Buyer’s right to claim damages, enforce performance warranties or exercise any other contractual remedy in the event of non-performance of the BESS.</w:t>
      </w:r>
      <w:r>
        <w:rPr>
          <w:rFonts w:asciiTheme="minorHAnsi" w:hAnsiTheme="minorHAnsi" w:cstheme="minorHAnsi"/>
          <w:szCs w:val="22"/>
        </w:rPr>
        <w:t xml:space="preserve"> Performance warranties, liquidated damages, rejection rights and indemnification provisions remain fully enforceable notwithstanding any warranty provision. Any exclusion from warranty coverage shall be expressly defined in </w:t>
      </w:r>
      <w:r>
        <w:rPr>
          <w:rFonts w:asciiTheme="minorHAnsi" w:hAnsiTheme="minorHAnsi" w:cstheme="minorHAnsi"/>
          <w:szCs w:val="22"/>
          <w:highlight w:val="cyan"/>
        </w:rPr>
        <w:t>APPENDIX G</w:t>
      </w:r>
      <w:r>
        <w:rPr>
          <w:rFonts w:asciiTheme="minorHAnsi" w:hAnsiTheme="minorHAnsi" w:cstheme="minorHAnsi"/>
          <w:szCs w:val="22"/>
        </w:rPr>
        <w:t xml:space="preserve"> and shall be interpreted restrictively; the Seller bears the burden of proof that an exclusion applies.</w:t>
      </w:r>
    </w:p>
    <w:p w14:paraId="51635B87"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7.1.4 Single point of responsibility. The Seller is solely responsible to the Buyer for the warranty of every component of the BESS, including cells, modules, PCS, BMS, HVAC, fire suppression and EMS, whether or not manufactured by the Seller. The Seller shall not condition, delay or limit any remedy on the outcome of its own claim against a sub-supplier, and shall replace proven defective cells, modules or components within the periods of Clauses 6.1, 6.8 and 7.5 regardless of the position of the component manufacturer. The Seller shall obtain from each manufacturer of a Key Component a warranty of no less than the duration stated in </w:t>
      </w:r>
      <w:r>
        <w:rPr>
          <w:rFonts w:asciiTheme="minorHAnsi" w:hAnsiTheme="minorHAnsi" w:cstheme="minorHAnsi"/>
          <w:szCs w:val="22"/>
          <w:highlight w:val="cyan"/>
        </w:rPr>
        <w:t>APPENDIX G</w:t>
      </w:r>
      <w:r>
        <w:rPr>
          <w:rFonts w:asciiTheme="minorHAnsi" w:hAnsiTheme="minorHAnsi" w:cstheme="minorHAnsi"/>
          <w:szCs w:val="22"/>
        </w:rPr>
        <w:t xml:space="preserve">, ensure that it is assignable to the Buyer and its financiers, and deliver copies and proof of purchase before Site Acceptance; on an Insolvency Event of the Seller or termination by the Buyer all such warranties are assigned to the Buyer with immediate effect, this Agreement constituting the instrument of assignment. Support under Clause 6.8, including on-site resolution, extends to the PCS and every other component and shall be provided in English and in the language of the </w:t>
      </w:r>
      <w:r>
        <w:rPr>
          <w:rFonts w:asciiTheme="minorHAnsi" w:hAnsiTheme="minorHAnsi" w:cstheme="minorHAnsi"/>
          <w:szCs w:val="22"/>
          <w:highlight w:val="yellow"/>
        </w:rPr>
        <w:t>Named Place of Destination</w:t>
      </w:r>
      <w:r>
        <w:rPr>
          <w:rFonts w:asciiTheme="minorHAnsi" w:hAnsiTheme="minorHAnsi" w:cstheme="minorHAnsi"/>
          <w:szCs w:val="22"/>
        </w:rPr>
        <w:t>.</w:t>
      </w:r>
    </w:p>
    <w:p w14:paraId="6BBB31F7" w14:textId="5D19B022"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7.1.5 Warranty Commencement Date. All Warranty Periods and the capacity baseline run from the Warranty Commencement Date, which is the date of the Site Acceptance Certificate. If Site Acceptance has not occurred within </w:t>
      </w:r>
      <w:r>
        <w:rPr>
          <w:rFonts w:asciiTheme="minorHAnsi" w:hAnsiTheme="minorHAnsi" w:cstheme="minorHAnsi"/>
          <w:szCs w:val="22"/>
          <w:highlight w:val="yellow"/>
        </w:rPr>
        <w:t>[one hundred and twenty (120)]</w:t>
      </w:r>
      <w:r>
        <w:rPr>
          <w:rFonts w:asciiTheme="minorHAnsi" w:hAnsiTheme="minorHAnsi" w:cstheme="minorHAnsi"/>
          <w:szCs w:val="22"/>
        </w:rPr>
        <w:t xml:space="preserve"> calendar days after Delivery of the last shipment for reasons not attributable to the Seller, the Warranty Commencement Date is the expiry of that period, extended by the number of days of any delay to commissioning or testing attributable to the Seller or its subcontractors; where the delay is attributable to the Seller, the Warranty Commencement Date is the actual date of the Site Acceptance Certificate. Storage </w:t>
      </w:r>
      <w:r>
        <w:rPr>
          <w:rFonts w:asciiTheme="minorHAnsi" w:hAnsiTheme="minorHAnsi" w:cstheme="minorHAnsi"/>
          <w:szCs w:val="22"/>
        </w:rPr>
        <w:lastRenderedPageBreak/>
        <w:t xml:space="preserve">before Site Acceptance does not shorten any Warranty Period where the requirements of </w:t>
      </w:r>
      <w:r>
        <w:rPr>
          <w:rFonts w:asciiTheme="minorHAnsi" w:hAnsiTheme="minorHAnsi" w:cstheme="minorHAnsi"/>
          <w:szCs w:val="22"/>
          <w:highlight w:val="cyan"/>
        </w:rPr>
        <w:t>APPENDIX B</w:t>
      </w:r>
      <w:r>
        <w:rPr>
          <w:rFonts w:asciiTheme="minorHAnsi" w:hAnsiTheme="minorHAnsi" w:cstheme="minorHAnsi"/>
          <w:szCs w:val="22"/>
        </w:rPr>
        <w:t xml:space="preserve"> are met. Every reference in this Agreement to warranty periods running from the Site Acceptance Certificate is subject to this Clause.</w:t>
      </w:r>
    </w:p>
    <w:p w14:paraId="0778CE77"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7.1.6 Design life, fitness for purpose and proven technology. The Seller warrants that the BESS (a) is designed for an operating life of not less than </w:t>
      </w:r>
      <w:r>
        <w:rPr>
          <w:rFonts w:asciiTheme="minorHAnsi" w:hAnsiTheme="minorHAnsi" w:cstheme="minorHAnsi"/>
          <w:szCs w:val="22"/>
          <w:highlight w:val="yellow"/>
        </w:rPr>
        <w:t>[fifteen (15)]</w:t>
      </w:r>
      <w:r>
        <w:rPr>
          <w:rFonts w:asciiTheme="minorHAnsi" w:hAnsiTheme="minorHAnsi" w:cstheme="minorHAnsi"/>
          <w:szCs w:val="22"/>
        </w:rPr>
        <w:t xml:space="preserve"> years at the Site under the operating profile stated in </w:t>
      </w:r>
      <w:r>
        <w:rPr>
          <w:rFonts w:asciiTheme="minorHAnsi" w:hAnsiTheme="minorHAnsi" w:cstheme="minorHAnsi"/>
          <w:szCs w:val="22"/>
          <w:highlight w:val="cyan"/>
        </w:rPr>
        <w:t>APPENDIX B</w:t>
      </w:r>
      <w:r>
        <w:rPr>
          <w:rFonts w:asciiTheme="minorHAnsi" w:hAnsiTheme="minorHAnsi" w:cstheme="minorHAnsi"/>
          <w:szCs w:val="22"/>
        </w:rPr>
        <w:t xml:space="preserve">; (b) is fit for the purpose of grid-connected energy storage with the duty cycle, ambient conditions and grid requirements described in </w:t>
      </w:r>
      <w:r>
        <w:rPr>
          <w:rFonts w:asciiTheme="minorHAnsi" w:hAnsiTheme="minorHAnsi" w:cstheme="minorHAnsi"/>
          <w:szCs w:val="22"/>
          <w:highlight w:val="cyan"/>
        </w:rPr>
        <w:t>APPENDICES A and B</w:t>
      </w:r>
      <w:r>
        <w:rPr>
          <w:rFonts w:asciiTheme="minorHAnsi" w:hAnsiTheme="minorHAnsi" w:cstheme="minorHAnsi"/>
          <w:szCs w:val="22"/>
        </w:rPr>
        <w:t xml:space="preserve">; (c) is new, unused, of a proven design with at least </w:t>
      </w:r>
      <w:r>
        <w:rPr>
          <w:rFonts w:asciiTheme="minorHAnsi" w:hAnsiTheme="minorHAnsi" w:cstheme="minorHAnsi"/>
          <w:szCs w:val="22"/>
          <w:highlight w:val="yellow"/>
        </w:rPr>
        <w:t>[__ MWh]</w:t>
      </w:r>
      <w:r>
        <w:rPr>
          <w:rFonts w:asciiTheme="minorHAnsi" w:hAnsiTheme="minorHAnsi" w:cstheme="minorHAnsi"/>
          <w:szCs w:val="22"/>
        </w:rPr>
        <w:t xml:space="preserve"> of the same cell and system platform in commercial operation for at least </w:t>
      </w:r>
      <w:r>
        <w:rPr>
          <w:rFonts w:asciiTheme="minorHAnsi" w:hAnsiTheme="minorHAnsi" w:cstheme="minorHAnsi"/>
          <w:szCs w:val="22"/>
          <w:highlight w:val="yellow"/>
        </w:rPr>
        <w:t>[twelve (12)]</w:t>
      </w:r>
      <w:r>
        <w:rPr>
          <w:rFonts w:asciiTheme="minorHAnsi" w:hAnsiTheme="minorHAnsi" w:cstheme="minorHAnsi"/>
          <w:szCs w:val="22"/>
        </w:rPr>
        <w:t xml:space="preserve"> months, and contains no prototype, pre-series or end-of-life components; and (d) complies with the Critical Component List and the Designated Cell.</w:t>
      </w:r>
    </w:p>
    <w:p w14:paraId="409556C4" w14:textId="77777777" w:rsidR="009E333E" w:rsidRDefault="00000000">
      <w:pPr>
        <w:pStyle w:val="Heading2"/>
        <w:spacing w:before="200" w:after="80"/>
        <w:ind w:left="360"/>
        <w:rPr>
          <w:rFonts w:asciiTheme="minorHAnsi" w:hAnsiTheme="minorHAnsi" w:cstheme="minorHAnsi"/>
          <w:szCs w:val="22"/>
        </w:rPr>
      </w:pPr>
      <w:r>
        <w:rPr>
          <w:rFonts w:asciiTheme="minorHAnsi" w:hAnsiTheme="minorHAnsi" w:cstheme="minorHAnsi"/>
          <w:szCs w:val="22"/>
        </w:rPr>
        <w:t>7.2 Performance Warranty</w:t>
      </w:r>
    </w:p>
    <w:p w14:paraId="3C2E6523" w14:textId="3D86DD2C"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7.2.1 The Seller guarantees that the BESS supplied under this Agreement meets the minimum performance parameters stated in </w:t>
      </w:r>
      <w:r>
        <w:rPr>
          <w:rFonts w:asciiTheme="minorHAnsi" w:hAnsiTheme="minorHAnsi" w:cstheme="minorHAnsi"/>
          <w:szCs w:val="22"/>
          <w:highlight w:val="cyan"/>
        </w:rPr>
        <w:t>APPENDIX G</w:t>
      </w:r>
      <w:r>
        <w:rPr>
          <w:rFonts w:asciiTheme="minorHAnsi" w:hAnsiTheme="minorHAnsi" w:cstheme="minorHAnsi"/>
          <w:szCs w:val="22"/>
        </w:rPr>
        <w:t xml:space="preserve">: </w:t>
      </w:r>
      <w:r>
        <w:rPr>
          <w:rFonts w:asciiTheme="minorHAnsi" w:hAnsiTheme="minorHAnsi" w:cstheme="minorHAnsi"/>
          <w:szCs w:val="22"/>
        </w:rPr>
        <w:t>guaranteed Useable Capacity at the Warranty Commencement Date (MWh)</w:t>
      </w:r>
      <w:r>
        <w:rPr>
          <w:rFonts w:asciiTheme="minorHAnsi" w:hAnsiTheme="minorHAnsi" w:cstheme="minorHAnsi"/>
          <w:szCs w:val="22"/>
        </w:rPr>
        <w:t xml:space="preserve">; minimum round-trip efficiency (%); maximum annual degradation rate (%); and guaranteed cycle life (number of cycles). The guaranteed cycle life shall be consistent with the maximum degradation rate, and both parameters shall be jointly satisfied throughout the Warranty Period. All performance warranties (including capacity, efficiency and degradation) are measured under the standard operating conditions defined in </w:t>
      </w:r>
      <w:r>
        <w:rPr>
          <w:rFonts w:asciiTheme="minorHAnsi" w:hAnsiTheme="minorHAnsi" w:cstheme="minorHAnsi"/>
          <w:szCs w:val="22"/>
          <w:highlight w:val="cyan"/>
        </w:rPr>
        <w:t>APPENDIX B</w:t>
      </w:r>
      <w:r>
        <w:rPr>
          <w:rFonts w:asciiTheme="minorHAnsi" w:hAnsiTheme="minorHAnsi" w:cstheme="minorHAnsi"/>
          <w:szCs w:val="22"/>
        </w:rPr>
        <w:t xml:space="preserve"> (BESS Technical Specifications), including temperature range, C-rate, State of Charge (SOC) window and test procedures.</w:t>
      </w:r>
    </w:p>
    <w:p w14:paraId="5AEAB193" w14:textId="79DFAC22"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7.2.2 </w:t>
      </w:r>
      <w:r>
        <w:rPr>
          <w:rFonts w:asciiTheme="minorHAnsi" w:hAnsiTheme="minorHAnsi" w:cstheme="minorHAnsi"/>
          <w:szCs w:val="22"/>
        </w:rPr>
        <w:t xml:space="preserve">A “cycle” means one equivalent full cycle. Equivalent full cycles equal the cumulative discharged energy at the point of measurement of Clause 6.9 divided by the fixed reference Useable Capacity of </w:t>
      </w:r>
      <w:r>
        <w:rPr>
          <w:rFonts w:asciiTheme="minorHAnsi" w:hAnsiTheme="minorHAnsi" w:cstheme="minorHAnsi"/>
          <w:szCs w:val="22"/>
          <w:highlight w:val="yellow"/>
        </w:rPr>
        <w:t>[●]</w:t>
      </w:r>
      <w:r>
        <w:rPr>
          <w:rFonts w:asciiTheme="minorHAnsi" w:hAnsiTheme="minorHAnsi" w:cstheme="minorHAnsi"/>
          <w:szCs w:val="22"/>
        </w:rPr>
        <w:t xml:space="preserve"> MWh stated in </w:t>
      </w:r>
      <w:r>
        <w:rPr>
          <w:rFonts w:asciiTheme="minorHAnsi" w:hAnsiTheme="minorHAnsi" w:cstheme="minorHAnsi"/>
          <w:szCs w:val="22"/>
          <w:highlight w:val="cyan"/>
        </w:rPr>
        <w:t>APPENDIX G</w:t>
      </w:r>
      <w:r>
        <w:rPr>
          <w:rFonts w:asciiTheme="minorHAnsi" w:hAnsiTheme="minorHAnsi" w:cstheme="minorHAnsi"/>
          <w:szCs w:val="22"/>
        </w:rPr>
        <w:t xml:space="preserve">; </w:t>
      </w:r>
      <w:r>
        <w:rPr>
          <w:rFonts w:asciiTheme="minorHAnsi" w:hAnsiTheme="minorHAnsi" w:cstheme="minorHAnsi"/>
          <w:szCs w:val="22"/>
          <w:highlight w:val="cyan"/>
        </w:rPr>
        <w:t>APPENDIX G</w:t>
      </w:r>
      <w:r>
        <w:rPr>
          <w:rFonts w:asciiTheme="minorHAnsi" w:hAnsiTheme="minorHAnsi" w:cstheme="minorHAnsi"/>
          <w:szCs w:val="22"/>
        </w:rPr>
        <w:t xml:space="preserve"> identifies the reference date, the energy flows included and the treatment of replaced or augmented units, and the denominator does not change because of degradation.</w:t>
      </w:r>
      <w:r>
        <w:rPr>
          <w:rFonts w:asciiTheme="minorHAnsi" w:hAnsiTheme="minorHAnsi" w:cstheme="minorHAnsi"/>
          <w:szCs w:val="22"/>
        </w:rPr>
        <w:t xml:space="preserve"> The maximum daily and annual cycling, the maximum continuous C-rate and any minimum rest period on which the warranty depends are stated in </w:t>
      </w:r>
      <w:r>
        <w:rPr>
          <w:rFonts w:asciiTheme="minorHAnsi" w:hAnsiTheme="minorHAnsi" w:cstheme="minorHAnsi"/>
          <w:szCs w:val="22"/>
          <w:highlight w:val="cyan"/>
        </w:rPr>
        <w:t>APPENDIX G</w:t>
      </w:r>
      <w:r>
        <w:rPr>
          <w:rFonts w:asciiTheme="minorHAnsi" w:hAnsiTheme="minorHAnsi" w:cstheme="minorHAnsi"/>
          <w:szCs w:val="22"/>
        </w:rPr>
        <w:t xml:space="preserve">, and the Buyer’s intended operating profile stated in </w:t>
      </w:r>
      <w:r>
        <w:rPr>
          <w:rFonts w:asciiTheme="minorHAnsi" w:hAnsiTheme="minorHAnsi" w:cstheme="minorHAnsi"/>
          <w:szCs w:val="22"/>
          <w:highlight w:val="cyan"/>
        </w:rPr>
        <w:t>APPENDIX B</w:t>
      </w:r>
      <w:r>
        <w:rPr>
          <w:rFonts w:asciiTheme="minorHAnsi" w:hAnsiTheme="minorHAnsi" w:cstheme="minorHAnsi"/>
          <w:szCs w:val="22"/>
        </w:rPr>
        <w:t xml:space="preserve"> falls within those limits. Exceeding a daily limit does not void any warranty; its only effect is the adjustment of the guaranteed degradation curve by the method stated in </w:t>
      </w:r>
      <w:r>
        <w:rPr>
          <w:rFonts w:asciiTheme="minorHAnsi" w:hAnsiTheme="minorHAnsi" w:cstheme="minorHAnsi"/>
          <w:szCs w:val="22"/>
          <w:highlight w:val="cyan"/>
        </w:rPr>
        <w:t>APPENDIX G</w:t>
      </w:r>
      <w:r>
        <w:rPr>
          <w:rFonts w:asciiTheme="minorHAnsi" w:hAnsiTheme="minorHAnsi" w:cstheme="minorHAnsi"/>
          <w:szCs w:val="22"/>
        </w:rPr>
        <w:t xml:space="preserve">, which also states how the guaranteed values are adjusted where actual annual cycling is lower or higher than the reference profile. Each container shall maintain a non-resettable counter of equivalent full cycles and throughput readable through the interface of </w:t>
      </w:r>
      <w:r>
        <w:rPr>
          <w:rFonts w:asciiTheme="minorHAnsi" w:hAnsiTheme="minorHAnsi" w:cstheme="minorHAnsi"/>
          <w:szCs w:val="22"/>
          <w:highlight w:val="cyan"/>
        </w:rPr>
        <w:t>APPENDIX L</w:t>
      </w:r>
      <w:r>
        <w:rPr>
          <w:rFonts w:asciiTheme="minorHAnsi" w:hAnsiTheme="minorHAnsi" w:cstheme="minorHAnsi"/>
          <w:szCs w:val="22"/>
        </w:rPr>
        <w:t>.</w:t>
      </w:r>
    </w:p>
    <w:p w14:paraId="78AB47A4" w14:textId="47EFF0F9"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7.2.3 If the BESS fails to meet the guaranteed performance levels, </w:t>
      </w:r>
      <w:r>
        <w:rPr>
          <w:rFonts w:asciiTheme="minorHAnsi" w:hAnsiTheme="minorHAnsi" w:cstheme="minorHAnsi"/>
          <w:szCs w:val="22"/>
        </w:rPr>
        <w:t xml:space="preserve">the Seller shall, at its sole cost and as the Buyer elects, repair or replace the defective components or provide capacity augmentation sufficient to restore the BESS to the guaranteed performance levels without adversely affecting safety, operation or remaining useful life. The Buyer may in addition claim the applicable liquidated damages under </w:t>
      </w:r>
      <w:r>
        <w:rPr>
          <w:rFonts w:asciiTheme="minorHAnsi" w:hAnsiTheme="minorHAnsi" w:cstheme="minorHAnsi"/>
          <w:szCs w:val="22"/>
          <w:highlight w:val="cyan"/>
        </w:rPr>
        <w:t>APPENDIX G</w:t>
      </w:r>
      <w:r>
        <w:rPr>
          <w:rFonts w:asciiTheme="minorHAnsi" w:hAnsiTheme="minorHAnsi" w:cstheme="minorHAnsi"/>
          <w:szCs w:val="22"/>
        </w:rPr>
        <w:t>, subject to its no-duplicate-recovery rules; payment of liquidated damages does not discharge the obligation to restore performance unless the Buyer expressly agrees to a permanent acceptance under Clause 4.1.</w:t>
      </w:r>
      <w:r>
        <w:rPr>
          <w:rFonts w:asciiTheme="minorHAnsi" w:hAnsiTheme="minorHAnsi" w:cstheme="minorHAnsi"/>
          <w:szCs w:val="22"/>
        </w:rPr>
        <w:t xml:space="preserve"> Performance warranties remain valid throughout the Warranty Period and are assessed in accordance with the measurement periods defined in </w:t>
      </w:r>
      <w:r>
        <w:rPr>
          <w:rFonts w:asciiTheme="minorHAnsi" w:hAnsiTheme="minorHAnsi" w:cstheme="minorHAnsi"/>
          <w:szCs w:val="22"/>
          <w:highlight w:val="cyan"/>
        </w:rPr>
        <w:t>APPENDIX G</w:t>
      </w:r>
      <w:r>
        <w:rPr>
          <w:rFonts w:asciiTheme="minorHAnsi" w:hAnsiTheme="minorHAnsi" w:cstheme="minorHAnsi"/>
          <w:szCs w:val="22"/>
        </w:rPr>
        <w:t xml:space="preserve">. Performance is assessed at commissioning and on an annual basis thereafter during the Warranty Period. </w:t>
      </w:r>
      <w:r>
        <w:rPr>
          <w:rFonts w:asciiTheme="minorHAnsi" w:hAnsiTheme="minorHAnsi" w:cstheme="minorHAnsi"/>
          <w:szCs w:val="22"/>
        </w:rPr>
        <w:t xml:space="preserve">Degradation is calculated from periodic capacity tests conducted in accordance with the agreed test procedures. The initial guaranteed capacity and the guaranteed degradation curve are those stated in </w:t>
      </w:r>
      <w:r>
        <w:rPr>
          <w:rFonts w:asciiTheme="minorHAnsi" w:hAnsiTheme="minorHAnsi" w:cstheme="minorHAnsi"/>
          <w:szCs w:val="22"/>
          <w:highlight w:val="cyan"/>
        </w:rPr>
        <w:t>APPENDIX G</w:t>
      </w:r>
      <w:r>
        <w:rPr>
          <w:rFonts w:asciiTheme="minorHAnsi" w:hAnsiTheme="minorHAnsi" w:cstheme="minorHAnsi"/>
          <w:szCs w:val="22"/>
        </w:rPr>
        <w:t xml:space="preserve">, measured at the </w:t>
      </w:r>
      <w:r>
        <w:rPr>
          <w:rFonts w:asciiTheme="minorHAnsi" w:hAnsiTheme="minorHAnsi" w:cstheme="minorHAnsi"/>
          <w:szCs w:val="22"/>
        </w:rPr>
        <w:lastRenderedPageBreak/>
        <w:t>boundary of Clause 6.9; the Site Acceptance test establishes the measured initial condition but does not reduce the guaranteed curve unless the Buyer expressly agrees to a permanent adjustment under Clause 4.1.</w:t>
      </w:r>
    </w:p>
    <w:p w14:paraId="5DE8465A" w14:textId="5AFC51FA"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7.2.4 The guaranteed Useable Capacity over time is set out in </w:t>
      </w:r>
      <w:r>
        <w:rPr>
          <w:rFonts w:asciiTheme="minorHAnsi" w:hAnsiTheme="minorHAnsi" w:cstheme="minorHAnsi"/>
          <w:szCs w:val="22"/>
          <w:highlight w:val="cyan"/>
        </w:rPr>
        <w:t>APPENDIX G</w:t>
      </w:r>
      <w:r>
        <w:rPr>
          <w:rFonts w:asciiTheme="minorHAnsi" w:hAnsiTheme="minorHAnsi" w:cstheme="minorHAnsi"/>
          <w:szCs w:val="22"/>
        </w:rPr>
        <w:t xml:space="preserve"> as a reference degradation curve with assessment nodes at intervals of not more than six (6) months, providing a minimum retained Useable Capacity of not less than </w:t>
      </w:r>
      <w:r>
        <w:rPr>
          <w:rFonts w:asciiTheme="minorHAnsi" w:hAnsiTheme="minorHAnsi" w:cstheme="minorHAnsi"/>
          <w:szCs w:val="22"/>
          <w:highlight w:val="yellow"/>
        </w:rPr>
        <w:t>[eighty per cent (80%)]</w:t>
      </w:r>
      <w:r>
        <w:rPr>
          <w:rFonts w:asciiTheme="minorHAnsi" w:hAnsiTheme="minorHAnsi" w:cstheme="minorHAnsi"/>
          <w:szCs w:val="22"/>
        </w:rPr>
        <w:t xml:space="preserve"> of the Useable Capacity stated in </w:t>
      </w:r>
      <w:r>
        <w:rPr>
          <w:rFonts w:asciiTheme="minorHAnsi" w:hAnsiTheme="minorHAnsi" w:cstheme="minorHAnsi"/>
          <w:szCs w:val="22"/>
          <w:highlight w:val="cyan"/>
        </w:rPr>
        <w:t>APPENDIX A</w:t>
      </w:r>
      <w:r>
        <w:rPr>
          <w:rFonts w:asciiTheme="minorHAnsi" w:hAnsiTheme="minorHAnsi" w:cstheme="minorHAnsi"/>
          <w:szCs w:val="22"/>
        </w:rPr>
        <w:t xml:space="preserve"> at the end of the Warranty Period.</w:t>
      </w:r>
      <w:r>
        <w:rPr>
          <w:rFonts w:asciiTheme="minorHAnsi" w:hAnsiTheme="minorHAnsi" w:cstheme="minorHAnsi"/>
          <w:szCs w:val="22"/>
        </w:rPr>
        <w:t xml:space="preserve"> The guaranteed curve is linearly interpolated between nodes to the applicable assessment date; nodes define guaranteed values and do not themselves require a test.</w:t>
      </w:r>
      <w:r>
        <w:rPr>
          <w:rFonts w:asciiTheme="minorHAnsi" w:hAnsiTheme="minorHAnsi" w:cstheme="minorHAnsi"/>
          <w:szCs w:val="22"/>
        </w:rPr>
        <w:t xml:space="preserve"> The Buyer shall schedule each annual performance test on not less than six (6) months’ notice and the test shall take place within thirty-six (36) days either side of the scheduled date. Where the test is delayed beyond that window for reasons attributable to the Seller, the guaranteed value at the scheduled date applies; where it is delayed for reasons attributable to the Buyer or to Force Majeure, </w:t>
      </w:r>
      <w:r>
        <w:rPr>
          <w:rFonts w:asciiTheme="minorHAnsi" w:hAnsiTheme="minorHAnsi" w:cstheme="minorHAnsi"/>
          <w:szCs w:val="22"/>
        </w:rPr>
        <w:t>the interpolated guaranteed value at the actual test date applies.</w:t>
      </w:r>
      <w:r>
        <w:rPr>
          <w:rFonts w:asciiTheme="minorHAnsi" w:hAnsiTheme="minorHAnsi" w:cstheme="minorHAnsi"/>
          <w:szCs w:val="22"/>
        </w:rPr>
        <w:t xml:space="preserve"> In the fourteen (14) calendar days before any performance test the Seller shall not perform balancing, SOC recalibration, firmware changes or maintenance beyond the routine maintenance of </w:t>
      </w:r>
      <w:r>
        <w:rPr>
          <w:rFonts w:asciiTheme="minorHAnsi" w:hAnsiTheme="minorHAnsi" w:cstheme="minorHAnsi"/>
          <w:szCs w:val="22"/>
          <w:highlight w:val="cyan"/>
        </w:rPr>
        <w:t>APPENDIX N</w:t>
      </w:r>
      <w:r>
        <w:rPr>
          <w:rFonts w:asciiTheme="minorHAnsi" w:hAnsiTheme="minorHAnsi" w:cstheme="minorHAnsi"/>
          <w:szCs w:val="22"/>
        </w:rPr>
        <w:t>, and shall disclose in writing any intervention performed in that period. The Buyer may require one additional unscheduled performance test in any contract year at its own cost, with the same contractual effect as a scheduled test. Any claim period for a performance shortfall runs from the date of the test that reveals it, not from the date on which the underlying degradation occurred. Any day or cycle proposed to be excluded from the performance, degradation or round-trip efficiency assessment is subject to the joint documentation procedure in Clause 7.3.</w:t>
      </w:r>
    </w:p>
    <w:p w14:paraId="32DFDA90" w14:textId="1CE1D5A4"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7.2.5 In the event that the BESS fails to meet any of the guaranteed performance parameters, </w:t>
      </w:r>
      <w:r>
        <w:rPr>
          <w:rFonts w:asciiTheme="minorHAnsi" w:hAnsiTheme="minorHAnsi" w:cstheme="minorHAnsi"/>
          <w:szCs w:val="22"/>
        </w:rPr>
        <w:t xml:space="preserve">the Seller shall respond and restore service within the periods stated in </w:t>
      </w:r>
      <w:r>
        <w:rPr>
          <w:rFonts w:asciiTheme="minorHAnsi" w:hAnsiTheme="minorHAnsi" w:cstheme="minorHAnsi"/>
          <w:szCs w:val="22"/>
          <w:highlight w:val="cyan"/>
        </w:rPr>
        <w:t>APPENDIX P</w:t>
      </w:r>
      <w:r>
        <w:rPr>
          <w:rFonts w:asciiTheme="minorHAnsi" w:hAnsiTheme="minorHAnsi" w:cstheme="minorHAnsi"/>
          <w:szCs w:val="22"/>
        </w:rPr>
        <w:t xml:space="preserve"> and shall permanently remedy any remaining shortfall and restore performance to the guaranteed levels within thirty (30) days of notification (the cure period), unless the Buyer agrees in writing a longer remediation plan; a shorter safety or availability remedy period under Clause 7.5 or </w:t>
      </w:r>
      <w:r>
        <w:rPr>
          <w:rFonts w:asciiTheme="minorHAnsi" w:hAnsiTheme="minorHAnsi" w:cstheme="minorHAnsi"/>
          <w:szCs w:val="22"/>
          <w:highlight w:val="cyan"/>
        </w:rPr>
        <w:t>APPENDIX P</w:t>
      </w:r>
      <w:r>
        <w:rPr>
          <w:rFonts w:asciiTheme="minorHAnsi" w:hAnsiTheme="minorHAnsi" w:cstheme="minorHAnsi"/>
          <w:szCs w:val="22"/>
        </w:rPr>
        <w:t xml:space="preserve"> prevails.</w:t>
      </w:r>
      <w:r>
        <w:rPr>
          <w:rFonts w:asciiTheme="minorHAnsi" w:hAnsiTheme="minorHAnsi" w:cstheme="minorHAnsi"/>
          <w:szCs w:val="22"/>
        </w:rPr>
        <w:t xml:space="preserve"> If the Seller fails to restore performance within the cure period, the Buyer is entitled to require capacity augmentation at the Seller’s cost and/or to claim liquidated damages. Liquidated damages are calculated on the performance shortfall and its impact on the Buyer’s expected revenue, per MWh of missing usable capacity and/or per percentage deviation from guaranteed efficiency or degradation levels, using the methodology defined in </w:t>
      </w:r>
      <w:r>
        <w:rPr>
          <w:rFonts w:asciiTheme="minorHAnsi" w:hAnsiTheme="minorHAnsi" w:cstheme="minorHAnsi"/>
          <w:szCs w:val="22"/>
          <w:highlight w:val="cyan"/>
        </w:rPr>
        <w:t>APPENDIX G</w:t>
      </w:r>
      <w:r>
        <w:rPr>
          <w:rFonts w:asciiTheme="minorHAnsi" w:hAnsiTheme="minorHAnsi" w:cstheme="minorHAnsi"/>
          <w:szCs w:val="22"/>
        </w:rPr>
        <w:t>. Payment of liquidated damages does not relieve the Seller from its obligation to restore performance. Performance warranties apply at system level; failures affecting individual containers, racks or battery packs shall be addressed by the Seller where they materially impact overall system performance or indicate systemic defects.</w:t>
      </w:r>
    </w:p>
    <w:p w14:paraId="50D0A76B" w14:textId="329C5AC0"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7.2.6 Persistent shortfall. A shortfall is material and persistent where (i) the measured Useable Capacity, round-trip efficiency or Availability </w:t>
      </w:r>
      <w:r>
        <w:rPr>
          <w:rFonts w:asciiTheme="minorHAnsi" w:hAnsiTheme="minorHAnsi" w:cstheme="minorHAnsi"/>
          <w:szCs w:val="22"/>
        </w:rPr>
        <w:t xml:space="preserve">is below the guaranteed value at two consecutive scheduled performance assessments, (ii) the shortfall at any single assessment exceeds </w:t>
      </w:r>
      <w:r>
        <w:rPr>
          <w:rFonts w:asciiTheme="minorHAnsi" w:hAnsiTheme="minorHAnsi" w:cstheme="minorHAnsi"/>
          <w:szCs w:val="22"/>
          <w:highlight w:val="yellow"/>
        </w:rPr>
        <w:t>[five per cent (5%)]</w:t>
      </w:r>
      <w:r>
        <w:rPr>
          <w:rFonts w:asciiTheme="minorHAnsi" w:hAnsiTheme="minorHAnsi" w:cstheme="minorHAnsi"/>
          <w:szCs w:val="22"/>
        </w:rPr>
        <w:t xml:space="preserve"> of the guaranteed capacity or power, or </w:t>
      </w:r>
      <w:r>
        <w:rPr>
          <w:rFonts w:asciiTheme="minorHAnsi" w:hAnsiTheme="minorHAnsi" w:cstheme="minorHAnsi"/>
          <w:szCs w:val="22"/>
          <w:highlight w:val="yellow"/>
        </w:rPr>
        <w:t>[five (5)]</w:t>
      </w:r>
      <w:r>
        <w:rPr>
          <w:rFonts w:asciiTheme="minorHAnsi" w:hAnsiTheme="minorHAnsi" w:cstheme="minorHAnsi"/>
          <w:szCs w:val="22"/>
        </w:rPr>
        <w:t xml:space="preserve"> percentage points for round-trip efficiency or Availability,</w:t>
      </w:r>
      <w:r>
        <w:rPr>
          <w:rFonts w:asciiTheme="minorHAnsi" w:hAnsiTheme="minorHAnsi" w:cstheme="minorHAnsi"/>
          <w:szCs w:val="22"/>
        </w:rPr>
        <w:t xml:space="preserve"> or (iii) accrued performance or availability liquidated damages reach </w:t>
      </w:r>
      <w:r>
        <w:rPr>
          <w:rFonts w:asciiTheme="minorHAnsi" w:hAnsiTheme="minorHAnsi" w:cstheme="minorHAnsi"/>
          <w:szCs w:val="22"/>
          <w:highlight w:val="yellow"/>
        </w:rPr>
        <w:t>[fifty per cent (50%)]</w:t>
      </w:r>
      <w:r>
        <w:rPr>
          <w:rFonts w:asciiTheme="minorHAnsi" w:hAnsiTheme="minorHAnsi" w:cstheme="minorHAnsi"/>
          <w:szCs w:val="22"/>
        </w:rPr>
        <w:t xml:space="preserve"> of their respective cap. On the first occurrence the Seller shall within thirty (30) days deliver and then implement a corrective action plan approved by the Buyer, including augmentation where required. </w:t>
      </w:r>
      <w:r>
        <w:rPr>
          <w:rFonts w:asciiTheme="minorHAnsi" w:hAnsiTheme="minorHAnsi" w:cstheme="minorHAnsi"/>
          <w:szCs w:val="22"/>
        </w:rPr>
        <w:t>If the guaranteed values are not restored within the cure period of Clause 7.2.5,</w:t>
      </w:r>
      <w:r>
        <w:rPr>
          <w:rFonts w:asciiTheme="minorHAnsi" w:hAnsiTheme="minorHAnsi" w:cstheme="minorHAnsi"/>
          <w:szCs w:val="22"/>
        </w:rPr>
        <w:t xml:space="preserve"> the Buyer may (a) require replacement of affected components or systems, (b) </w:t>
      </w:r>
      <w:r>
        <w:rPr>
          <w:rFonts w:asciiTheme="minorHAnsi" w:hAnsiTheme="minorHAnsi" w:cstheme="minorHAnsi"/>
          <w:szCs w:val="22"/>
        </w:rPr>
        <w:lastRenderedPageBreak/>
        <w:t>require full system replacement where defects are systemic, or (c) terminate the Agreement and claim damages, and may call the security in each case.</w:t>
      </w:r>
    </w:p>
    <w:p w14:paraId="6FB39D4B" w14:textId="33524886"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7.2.7 Balance guarantee. At FAT and at Site Acceptance the SOC deviation between any two modules within a rack </w:t>
      </w:r>
      <w:r>
        <w:rPr>
          <w:rFonts w:asciiTheme="minorHAnsi" w:hAnsiTheme="minorHAnsi" w:cstheme="minorHAnsi"/>
          <w:szCs w:val="22"/>
        </w:rPr>
        <w:t xml:space="preserve">shall not exceed three (3) percentage points, and the SOH deviation between any two racks within a container shall not exceed three (3) percentage points, comparing like component types on the same SOC or SOH basis under the test conditions of </w:t>
      </w:r>
      <w:r>
        <w:rPr>
          <w:rFonts w:asciiTheme="minorHAnsi" w:hAnsiTheme="minorHAnsi" w:cstheme="minorHAnsi"/>
          <w:szCs w:val="22"/>
          <w:highlight w:val="cyan"/>
        </w:rPr>
        <w:t>APPENDIX J</w:t>
      </w:r>
      <w:r>
        <w:rPr>
          <w:rFonts w:asciiTheme="minorHAnsi" w:hAnsiTheme="minorHAnsi" w:cstheme="minorHAnsi"/>
          <w:szCs w:val="22"/>
        </w:rPr>
        <w:t>.</w:t>
      </w:r>
      <w:r>
        <w:rPr>
          <w:rFonts w:asciiTheme="minorHAnsi" w:hAnsiTheme="minorHAnsi" w:cstheme="minorHAnsi"/>
          <w:szCs w:val="22"/>
        </w:rPr>
        <w:t xml:space="preserve"> During the Warranty Period energy stranded through cell, module or rack imbalance shall not exceed four per cent (4%) of the Useable Capacity of the container, measured over any rolling thirty (30) day period from the data of </w:t>
      </w:r>
      <w:r>
        <w:rPr>
          <w:rFonts w:asciiTheme="minorHAnsi" w:hAnsiTheme="minorHAnsi" w:cstheme="minorHAnsi"/>
          <w:szCs w:val="22"/>
          <w:highlight w:val="cyan"/>
        </w:rPr>
        <w:t>APPENDIX L</w:t>
      </w:r>
      <w:r>
        <w:rPr>
          <w:rFonts w:asciiTheme="minorHAnsi" w:hAnsiTheme="minorHAnsi" w:cstheme="minorHAnsi"/>
          <w:szCs w:val="22"/>
        </w:rPr>
        <w:t>.</w:t>
      </w:r>
      <w:r>
        <w:rPr>
          <w:rFonts w:asciiTheme="minorHAnsi" w:hAnsiTheme="minorHAnsi" w:cstheme="minorHAnsi"/>
          <w:szCs w:val="22"/>
        </w:rPr>
        <w:t xml:space="preserve"> </w:t>
      </w:r>
      <w:r>
        <w:rPr>
          <w:rFonts w:asciiTheme="minorHAnsi" w:hAnsiTheme="minorHAnsi" w:cstheme="minorHAnsi"/>
          <w:szCs w:val="22"/>
          <w:highlight w:val="cyan"/>
        </w:rPr>
        <w:t>APPENDIX J</w:t>
      </w:r>
      <w:r>
        <w:rPr>
          <w:rFonts w:asciiTheme="minorHAnsi" w:hAnsiTheme="minorHAnsi" w:cstheme="minorHAnsi"/>
          <w:szCs w:val="22"/>
        </w:rPr>
        <w:t xml:space="preserve"> defines the method, reference usable energy, operating exclusions and aggregation used to quantify stranded energy; the four per cent limit is not a sum of lost MWh over repeated cycles.</w:t>
      </w:r>
      <w:r>
        <w:rPr>
          <w:rFonts w:asciiTheme="minorHAnsi" w:hAnsiTheme="minorHAnsi" w:cstheme="minorHAnsi"/>
          <w:szCs w:val="22"/>
        </w:rPr>
        <w:t xml:space="preserve"> Where a limit is exceeded, the Seller shall rebalance at its own cost and, where rebalancing does not restore compliance within thirty (30) calendar days, replace the deviating modules or racks. Any rack or module whose SOH falls more than three (3) percentage points below the median of its container is presumed defective.</w:t>
      </w:r>
    </w:p>
    <w:p w14:paraId="58A635E3" w14:textId="77777777" w:rsidR="009E333E" w:rsidRDefault="00000000">
      <w:pPr>
        <w:pStyle w:val="Heading2"/>
        <w:spacing w:before="200" w:after="80"/>
        <w:ind w:left="360"/>
        <w:rPr>
          <w:rFonts w:asciiTheme="minorHAnsi" w:hAnsiTheme="minorHAnsi" w:cstheme="minorHAnsi"/>
          <w:szCs w:val="22"/>
        </w:rPr>
      </w:pPr>
      <w:r>
        <w:rPr>
          <w:rFonts w:asciiTheme="minorHAnsi" w:hAnsiTheme="minorHAnsi" w:cstheme="minorHAnsi"/>
          <w:szCs w:val="22"/>
        </w:rPr>
        <w:t>7.3 Availability</w:t>
      </w:r>
    </w:p>
    <w:p w14:paraId="7B6E3807"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7.3.1 Availability is measured at system level, including battery system, PCS, BMS, EMS and all auxiliary systems required for full operation, regardless of whether such components are supplied directly by the Seller or integrated by the Seller as part of the BESS. Availability means the percentage of time during which the BESS is capable of performing its intended charge and discharge functions at or above the minimum contracted performance levels, under normal operating conditions.</w:t>
      </w:r>
    </w:p>
    <w:p w14:paraId="4E685A54" w14:textId="6AE9E303"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7.3.2 </w:t>
      </w:r>
      <w:r>
        <w:rPr>
          <w:rFonts w:asciiTheme="minorHAnsi" w:hAnsiTheme="minorHAnsi" w:cstheme="minorHAnsi"/>
          <w:szCs w:val="22"/>
        </w:rPr>
        <w:t xml:space="preserve">For each measurement interval (not more than fifteen (15) minutes) and each PCS block, the availability factor is the lower of (i) available charge power divided by contracted charge power and (ii) available discharge power divided by contracted discharge power, bounded between zero and one. Availability (%) = 100 × Sum of (availability factor × rated block power × included interval duration) ÷ Sum of (rated block power × included interval duration). “Contracted Performance” is the charge and discharge power the BESS is obliged to deliver at the point of connection in the interval; </w:t>
      </w:r>
      <w:r>
        <w:rPr>
          <w:rFonts w:asciiTheme="minorHAnsi" w:hAnsiTheme="minorHAnsi" w:cstheme="minorHAnsi"/>
          <w:szCs w:val="22"/>
          <w:highlight w:val="cyan"/>
        </w:rPr>
        <w:t>APPENDIX G</w:t>
      </w:r>
      <w:r>
        <w:rPr>
          <w:rFonts w:asciiTheme="minorHAnsi" w:hAnsiTheme="minorHAnsi" w:cstheme="minorHAnsi"/>
          <w:szCs w:val="22"/>
        </w:rPr>
        <w:t xml:space="preserve"> specifies the contracted energy duration and SOC reference used to assess capability and how Buyer dispatch and external constraints are treated; intervals excluded under Clause 7.3.3 are removed from both numerator and denominator.</w:t>
      </w:r>
      <w:r>
        <w:rPr>
          <w:rFonts w:asciiTheme="minorHAnsi" w:hAnsiTheme="minorHAnsi" w:cstheme="minorHAnsi"/>
          <w:szCs w:val="22"/>
        </w:rPr>
        <w:t xml:space="preserve"> Periods during which the BESS is unavailable due to defects, failures or performance issues attributable to the Seller count as unavailable time. </w:t>
      </w:r>
      <w:r>
        <w:rPr>
          <w:rFonts w:asciiTheme="minorHAnsi" w:hAnsiTheme="minorHAnsi" w:cstheme="minorHAnsi"/>
          <w:szCs w:val="22"/>
        </w:rPr>
        <w:t>Availability is monitored monthly on a rolling twelve (12) month basis and is assessed for liquidated damages and repeated-failure purposes once for each non-overlapping twelve (12) month period beginning on the Warranty Commencement Date (a “Contract Year”); the final incomplete Contract Year is assessed over its actual duration with the liquidated damages prorated accordingly, and rolling monitoring results do not generate additional liquidated damages for an already assessed period.</w:t>
      </w:r>
      <w:r>
        <w:rPr>
          <w:rFonts w:asciiTheme="minorHAnsi" w:hAnsiTheme="minorHAnsi" w:cstheme="minorHAnsi"/>
          <w:szCs w:val="22"/>
        </w:rPr>
        <w:t xml:space="preserve"> Partial derating counts as unavailability in proportion to the shortfall. Time spent awaiting spare parts, Seller personnel, remote diagnosis or warranty approval counts as unavailable time. A reported “online” or “ready” status does not evidence availability; only the measured capability to deliver Contracted Performance does.</w:t>
      </w:r>
    </w:p>
    <w:p w14:paraId="145E370A"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7.3.3 The following events may be excluded from the availability calculation, provided that the Seller notifies the Buyer of the proposed exclusion with supporting evidence within ten (10) Business Days after the event, the Buyer confirms the exclusion in writing (such confirmation not to be unreasonably withheld where the evidence establishes the exclusion), and the excluded </w:t>
      </w:r>
      <w:r>
        <w:rPr>
          <w:rFonts w:asciiTheme="minorHAnsi" w:hAnsiTheme="minorHAnsi" w:cstheme="minorHAnsi"/>
          <w:szCs w:val="22"/>
        </w:rPr>
        <w:lastRenderedPageBreak/>
        <w:t>periods are recorded in a register maintained by the Selected Third-Party; no period may be excluded unilaterally by the Seller: (a) planned maintenance agreed in advance; (b) grid unavailability or curtailment not caused by the BESS, provided that the BESS is demonstrably capable of delivering its Contracted Performance during such periods (grid unavailability includes external communication loss not caused by the BESS, but connectivity failures of Seller-supplied gateways or cloud services are not excluded); and (c) Force Majeure events. All other downtime is deemed Seller-responsible unless proven otherwise.</w:t>
      </w:r>
    </w:p>
    <w:p w14:paraId="7D722B08" w14:textId="67C8C21E"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7.3.4 The Seller guarantees a minimum annual Availability of </w:t>
      </w:r>
      <w:r>
        <w:rPr>
          <w:rFonts w:asciiTheme="minorHAnsi" w:hAnsiTheme="minorHAnsi" w:cstheme="minorHAnsi"/>
          <w:szCs w:val="22"/>
          <w:highlight w:val="yellow"/>
        </w:rPr>
        <w:t>[98%]</w:t>
      </w:r>
      <w:r>
        <w:rPr>
          <w:rFonts w:asciiTheme="minorHAnsi" w:hAnsiTheme="minorHAnsi" w:cstheme="minorHAnsi"/>
          <w:szCs w:val="22"/>
        </w:rPr>
        <w:t xml:space="preserve">, </w:t>
      </w:r>
      <w:r>
        <w:rPr>
          <w:rFonts w:asciiTheme="minorHAnsi" w:hAnsiTheme="minorHAnsi" w:cstheme="minorHAnsi"/>
          <w:szCs w:val="22"/>
        </w:rPr>
        <w:t>assessed for each Contract Year during the Warranty Period and monitored on a rolling twelve (12) month basis under Clause 7.3.2.</w:t>
      </w:r>
      <w:r>
        <w:rPr>
          <w:rFonts w:asciiTheme="minorHAnsi" w:hAnsiTheme="minorHAnsi" w:cstheme="minorHAnsi"/>
          <w:szCs w:val="22"/>
        </w:rPr>
        <w:t xml:space="preserve"> If Availability falls below the guaranteed level, the Seller shall promptly investigate and remedy the cause and compensate the Buyer through liquidated damages calculated for each percentage point below the guaranteed Availability as defined in </w:t>
      </w:r>
      <w:r>
        <w:rPr>
          <w:rFonts w:asciiTheme="minorHAnsi" w:hAnsiTheme="minorHAnsi" w:cstheme="minorHAnsi"/>
          <w:szCs w:val="22"/>
          <w:highlight w:val="cyan"/>
        </w:rPr>
        <w:t>APPENDIX G</w:t>
      </w:r>
      <w:r>
        <w:rPr>
          <w:rFonts w:asciiTheme="minorHAnsi" w:hAnsiTheme="minorHAnsi" w:cstheme="minorHAnsi"/>
          <w:szCs w:val="22"/>
        </w:rPr>
        <w:t xml:space="preserve">. Liquidated damages under this Clause shall not constitute double recovery for the same performance shortfall. Repeated failure to meet the Availability guarantee </w:t>
      </w:r>
      <w:r>
        <w:rPr>
          <w:rFonts w:asciiTheme="minorHAnsi" w:hAnsiTheme="minorHAnsi" w:cstheme="minorHAnsi"/>
          <w:szCs w:val="22"/>
        </w:rPr>
        <w:t>for two (2) consecutive Contract Years is a Material Breach</w:t>
      </w:r>
      <w:r>
        <w:rPr>
          <w:rFonts w:asciiTheme="minorHAnsi" w:hAnsiTheme="minorHAnsi" w:cstheme="minorHAnsi"/>
          <w:szCs w:val="22"/>
        </w:rPr>
        <w:t xml:space="preserve"> of this Agreement.</w:t>
      </w:r>
    </w:p>
    <w:p w14:paraId="1FE9DF26" w14:textId="76F5BC18"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7.3.5 All performance and Availability measurements are based on data collected in accordance with </w:t>
      </w:r>
      <w:r>
        <w:rPr>
          <w:rFonts w:asciiTheme="minorHAnsi" w:hAnsiTheme="minorHAnsi" w:cstheme="minorHAnsi"/>
          <w:szCs w:val="22"/>
          <w:highlight w:val="cyan"/>
        </w:rPr>
        <w:t>APPENDIX L</w:t>
      </w:r>
      <w:r>
        <w:rPr>
          <w:rFonts w:asciiTheme="minorHAnsi" w:hAnsiTheme="minorHAnsi" w:cstheme="minorHAnsi"/>
          <w:szCs w:val="22"/>
        </w:rPr>
        <w:t xml:space="preserve"> (Data Monitoring) and validated by the Buyer or the Selected Third-Party. The Seller shall ensure the continuous availability, completeness and accuracy of that data. Where required data is unavailable, incomplete or unreliable due to the Seller: </w:t>
      </w:r>
      <w:r>
        <w:rPr>
          <w:rFonts w:asciiTheme="minorHAnsi" w:hAnsiTheme="minorHAnsi" w:cstheme="minorHAnsi"/>
          <w:szCs w:val="22"/>
        </w:rPr>
        <w:t>(a) for Availability, the affected block is treated as unavailable for every interval for which the Seller fails to provide reliable evidence of capability, reliable independent data being used where available; and (b) for capacity, power or efficiency, the Seller shall fund a repeat test and any applicable test-delay or data remedy remains available, missing data not by itself establishing a numerical shortfall.</w:t>
      </w:r>
      <w:r>
        <w:rPr>
          <w:rFonts w:asciiTheme="minorHAnsi" w:hAnsiTheme="minorHAnsi" w:cstheme="minorHAnsi"/>
          <w:szCs w:val="22"/>
        </w:rPr>
        <w:t xml:space="preserve"> The burden of proof lies with the Seller to demonstrate that any data unavailability or inaccuracy is not attributable to it. </w:t>
      </w:r>
      <w:r>
        <w:rPr>
          <w:rFonts w:asciiTheme="minorHAnsi" w:hAnsiTheme="minorHAnsi" w:cstheme="minorHAnsi"/>
          <w:szCs w:val="22"/>
        </w:rPr>
        <w:t xml:space="preserve">Failure attributable to the Seller to meet the data-availability requirement of </w:t>
      </w:r>
      <w:r>
        <w:rPr>
          <w:rFonts w:asciiTheme="minorHAnsi" w:hAnsiTheme="minorHAnsi" w:cstheme="minorHAnsi"/>
          <w:szCs w:val="22"/>
          <w:highlight w:val="cyan"/>
        </w:rPr>
        <w:t>APPENDIX L</w:t>
      </w:r>
      <w:r>
        <w:rPr>
          <w:rFonts w:asciiTheme="minorHAnsi" w:hAnsiTheme="minorHAnsi" w:cstheme="minorHAnsi"/>
          <w:szCs w:val="22"/>
        </w:rPr>
        <w:t xml:space="preserve"> in two (2) consecutive thirty (30) day assessment periods is a Material Breach of this Agreement.</w:t>
      </w:r>
    </w:p>
    <w:p w14:paraId="6A22776A" w14:textId="4C3DDEDA"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7.3.6 The Buyer or the Selected Third-Party </w:t>
      </w:r>
      <w:r>
        <w:rPr>
          <w:rFonts w:asciiTheme="minorHAnsi" w:hAnsiTheme="minorHAnsi" w:cstheme="minorHAnsi"/>
          <w:szCs w:val="22"/>
        </w:rPr>
        <w:t>calculates Availability for each Contract Year (and reports the rolling monthly figures)</w:t>
      </w:r>
      <w:r>
        <w:rPr>
          <w:rFonts w:asciiTheme="minorHAnsi" w:hAnsiTheme="minorHAnsi" w:cstheme="minorHAnsi"/>
          <w:szCs w:val="22"/>
        </w:rPr>
        <w:t xml:space="preserve"> from the </w:t>
      </w:r>
      <w:r>
        <w:rPr>
          <w:rFonts w:asciiTheme="minorHAnsi" w:hAnsiTheme="minorHAnsi" w:cstheme="minorHAnsi"/>
          <w:szCs w:val="22"/>
          <w:highlight w:val="cyan"/>
        </w:rPr>
        <w:t>APPENDIX L</w:t>
      </w:r>
      <w:r>
        <w:rPr>
          <w:rFonts w:asciiTheme="minorHAnsi" w:hAnsiTheme="minorHAnsi" w:cstheme="minorHAnsi"/>
          <w:szCs w:val="22"/>
        </w:rPr>
        <w:t xml:space="preserve"> data and notifies the Seller with the underlying data within thirty (30) days after the period end. The calculation is binding unless the Seller gives a reasoned notice of disagreement within twenty (20) Business Days, in which case Clause 15.2 applies. Availability liquidated damages are payable within thirty (30) days of the Buyer’s notice and may be set off against any sum due to the Seller.</w:t>
      </w:r>
    </w:p>
    <w:p w14:paraId="474C09B4" w14:textId="77777777" w:rsidR="009E333E" w:rsidRDefault="00000000">
      <w:pPr>
        <w:pStyle w:val="Heading2"/>
        <w:spacing w:before="200" w:after="80"/>
        <w:ind w:left="360"/>
        <w:rPr>
          <w:rFonts w:asciiTheme="minorHAnsi" w:hAnsiTheme="minorHAnsi" w:cstheme="minorHAnsi"/>
          <w:szCs w:val="22"/>
        </w:rPr>
      </w:pPr>
      <w:r>
        <w:rPr>
          <w:rFonts w:asciiTheme="minorHAnsi" w:hAnsiTheme="minorHAnsi" w:cstheme="minorHAnsi"/>
          <w:szCs w:val="22"/>
        </w:rPr>
        <w:t>7.4 Serial Defects</w:t>
      </w:r>
    </w:p>
    <w:p w14:paraId="4B1D2352" w14:textId="683C0506"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7.4.1 Definition. A “Serial Defect” means a defect or failure having the same or similar root cause affecting: </w:t>
      </w:r>
      <w:r>
        <w:rPr>
          <w:rFonts w:asciiTheme="minorHAnsi" w:hAnsiTheme="minorHAnsi" w:cstheme="minorHAnsi"/>
          <w:szCs w:val="22"/>
        </w:rPr>
        <w:t xml:space="preserve">(a) the greater of three (3) units and five per cent (5%) of the units of the same component type within any continuous twelve (12) month period during the Warranty Period; (b) </w:t>
      </w:r>
      <w:r>
        <w:rPr>
          <w:rFonts w:asciiTheme="minorHAnsi" w:hAnsiTheme="minorHAnsi" w:cstheme="minorHAnsi"/>
          <w:szCs w:val="22"/>
          <w:highlight w:val="yellow"/>
        </w:rPr>
        <w:t>[intentionally left blank]</w:t>
      </w:r>
      <w:r>
        <w:rPr>
          <w:rFonts w:asciiTheme="minorHAnsi" w:hAnsiTheme="minorHAnsi" w:cstheme="minorHAnsi"/>
          <w:szCs w:val="22"/>
        </w:rPr>
        <w:t>; (c)</w:t>
      </w:r>
      <w:r>
        <w:rPr>
          <w:rFonts w:asciiTheme="minorHAnsi" w:hAnsiTheme="minorHAnsi" w:cstheme="minorHAnsi"/>
          <w:szCs w:val="22"/>
        </w:rPr>
        <w:t xml:space="preserve"> notwithstanding (a) and (b), any Defect involving thermal runaway, venting, fire, arc flash, insulation failure, a false or missing safety alarm, or a failure of the BMS, fire detection or suppression system to perform its protective function, on its first occurrence; or (d) any other Defect with the same root cause occurring twice within the Warranty Period at the Site or </w:t>
      </w:r>
      <w:r>
        <w:rPr>
          <w:rFonts w:asciiTheme="minorHAnsi" w:hAnsiTheme="minorHAnsi" w:cstheme="minorHAnsi"/>
          <w:szCs w:val="22"/>
        </w:rPr>
        <w:t>at any other site using the same Product Family.</w:t>
      </w:r>
      <w:r>
        <w:rPr>
          <w:rFonts w:asciiTheme="minorHAnsi" w:hAnsiTheme="minorHAnsi" w:cstheme="minorHAnsi"/>
          <w:szCs w:val="22"/>
        </w:rPr>
        <w:t xml:space="preserve"> For the purpose of this Clause, “unit” includes, as applicable, battery cells, battery packs, battery racks, containers, inverters (PCS) or any critical subsystem of the BESS.</w:t>
      </w:r>
    </w:p>
    <w:p w14:paraId="37E0CDF7"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lastRenderedPageBreak/>
        <w:t>7.4.2 Notification. The Seller shall notify the Buyer within five (5) days of becoming aware of any Serial Defect or potential Serial Defect, including (a) a description of the defect, (b) the suspected root cause, (c) the affected components, batches or production periods and (d) an initial risk assessment.</w:t>
      </w:r>
      <w:r>
        <w:rPr>
          <w:rFonts w:asciiTheme="minorHAnsi" w:hAnsiTheme="minorHAnsi" w:cstheme="minorHAnsi"/>
          <w:szCs w:val="22"/>
        </w:rPr>
        <w:t xml:space="preserve"> The immediate safety-event notice required by </w:t>
      </w:r>
      <w:r>
        <w:rPr>
          <w:rFonts w:asciiTheme="minorHAnsi" w:hAnsiTheme="minorHAnsi" w:cstheme="minorHAnsi"/>
          <w:szCs w:val="22"/>
          <w:highlight w:val="cyan"/>
        </w:rPr>
        <w:t>APPENDIX W</w:t>
      </w:r>
      <w:r>
        <w:rPr>
          <w:rFonts w:asciiTheme="minorHAnsi" w:hAnsiTheme="minorHAnsi" w:cstheme="minorHAnsi"/>
          <w:szCs w:val="22"/>
        </w:rPr>
        <w:t xml:space="preserve"> prevails over this general notice period.</w:t>
      </w:r>
    </w:p>
    <w:p w14:paraId="464A5A04"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7.4.3 Consequences. Upon identification of a Serial Defect, the Buyer has the right, at its sole discretion, to (a) require inspection, testing and analysis of all potentially affected units, whether or not they have already failed; (b) suspend shipment, installation or operation of affected units; (c) require the Seller to repair, replace or retrofit all affected and at-risk units; and (d) require implementation of corrective design or manufacturing changes. Once a Serial Defect is identified, all units sharing the same design, components, manufacturing process or production batch are presumed affected unless the Seller demonstrates otherwise to the reasonable satisfaction of the Buyer.</w:t>
      </w:r>
    </w:p>
    <w:p w14:paraId="2D6C2AC3" w14:textId="6199B3C9"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7.4.4 Root cause analysis and costs. The Seller shall, at its own cost, (a) perform a detailed root cause analysis, (b) provide a corrective action plan, (c) implement permanent corrective measures and (d) provide regular progress updates to the Buyer. The Seller bears all costs associated with Serial Defects, including investigation and testing, removal, replacement and reinstallation of affected components, logistics and handling, </w:t>
      </w:r>
      <w:r>
        <w:rPr>
          <w:rFonts w:asciiTheme="minorHAnsi" w:hAnsiTheme="minorHAnsi" w:cstheme="minorHAnsi"/>
          <w:szCs w:val="22"/>
        </w:rPr>
        <w:t xml:space="preserve">and downtime, losses and any resulting damages, subject to Clause 14.1. For a safety event the assessment and root cause deadlines of </w:t>
      </w:r>
      <w:r>
        <w:rPr>
          <w:rFonts w:asciiTheme="minorHAnsi" w:hAnsiTheme="minorHAnsi" w:cstheme="minorHAnsi"/>
          <w:szCs w:val="22"/>
          <w:highlight w:val="cyan"/>
        </w:rPr>
        <w:t>APPENDIX W</w:t>
      </w:r>
      <w:r>
        <w:rPr>
          <w:rFonts w:asciiTheme="minorHAnsi" w:hAnsiTheme="minorHAnsi" w:cstheme="minorHAnsi"/>
          <w:szCs w:val="22"/>
        </w:rPr>
        <w:t xml:space="preserve"> apply. For any other Serial Defect the Seller shall submit a preliminary containment plan within five (5) Business Days and a root cause analysis and permanent corrective action plan within thirty (30) calendar days of the notification under Clause 7.4.2; the approved plan states the completion dates and does not extend a shorter applicable remedy deadline unless the Buyer expressly agrees.</w:t>
      </w:r>
    </w:p>
    <w:p w14:paraId="29B1567B" w14:textId="6093027B"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7.4.5 Failure to act. </w:t>
      </w:r>
      <w:r>
        <w:rPr>
          <w:rFonts w:asciiTheme="minorHAnsi" w:hAnsiTheme="minorHAnsi" w:cstheme="minorHAnsi"/>
          <w:szCs w:val="22"/>
        </w:rPr>
        <w:t>If the Seller fails to take corrective action within the applicable contractual or approved-plan deadline,</w:t>
      </w:r>
      <w:r>
        <w:rPr>
          <w:rFonts w:asciiTheme="minorHAnsi" w:hAnsiTheme="minorHAnsi" w:cstheme="minorHAnsi"/>
          <w:szCs w:val="22"/>
        </w:rPr>
        <w:t xml:space="preserve"> the Buyer may, at its discretion, perform or procure the necessary corrective measures and recover all associated costs from the Seller or set them off against any amount due. The rights set out in this Clause are in addition to, and do not limit, any other rights or remedies available to the Buyer under this Agreement.</w:t>
      </w:r>
    </w:p>
    <w:p w14:paraId="134F65C8" w14:textId="77777777" w:rsidR="009E333E" w:rsidRDefault="00000000">
      <w:pPr>
        <w:pStyle w:val="Heading2"/>
        <w:spacing w:before="200" w:after="80"/>
        <w:ind w:left="360"/>
        <w:rPr>
          <w:rFonts w:asciiTheme="minorHAnsi" w:hAnsiTheme="minorHAnsi" w:cstheme="minorHAnsi"/>
          <w:szCs w:val="22"/>
        </w:rPr>
      </w:pPr>
      <w:r>
        <w:rPr>
          <w:rFonts w:asciiTheme="minorHAnsi" w:hAnsiTheme="minorHAnsi" w:cstheme="minorHAnsi"/>
          <w:szCs w:val="22"/>
        </w:rPr>
        <w:t>7.5 Remedying Defects</w:t>
      </w:r>
    </w:p>
    <w:p w14:paraId="68006CDD"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7.5.1 The Buyer may notify a Defect at any time during the Warranty Period. The Seller shall at its own cost investigate the root cause and repair or replace the affected item and any consequential damage to the BESS within ten (10) Business Days of notice for Defects affecting safety or availability and within thirty (30) calendar days otherwise, or within such longer period as the Buyer agrees on the basis of a written remediation plan.</w:t>
      </w:r>
    </w:p>
    <w:p w14:paraId="735D57DD" w14:textId="02D30812"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7.5.2 The Warranty Period is extended by any period during which the BESS or any part of it cannot be operated at the guaranteed levels because of a Defect. </w:t>
      </w:r>
      <w:r>
        <w:rPr>
          <w:rFonts w:asciiTheme="minorHAnsi" w:hAnsiTheme="minorHAnsi" w:cstheme="minorHAnsi"/>
          <w:szCs w:val="22"/>
        </w:rPr>
        <w:t xml:space="preserve">A repaired or replaced item carries a new warranty, running from completion of the remedy, equal to the longer of twenty-four (24) months and the full original contractual warranty duration for that component. Overlapping outage periods are counted once; </w:t>
      </w:r>
      <w:r>
        <w:rPr>
          <w:rFonts w:asciiTheme="minorHAnsi" w:hAnsiTheme="minorHAnsi" w:cstheme="minorHAnsi"/>
          <w:szCs w:val="22"/>
          <w:highlight w:val="cyan"/>
        </w:rPr>
        <w:t>APPENDIX G</w:t>
      </w:r>
      <w:r>
        <w:rPr>
          <w:rFonts w:asciiTheme="minorHAnsi" w:hAnsiTheme="minorHAnsi" w:cstheme="minorHAnsi"/>
          <w:szCs w:val="22"/>
        </w:rPr>
        <w:t xml:space="preserve"> states whether an outage extension applies to the affected component, the affected block or the entire BESS.</w:t>
      </w:r>
    </w:p>
    <w:p w14:paraId="5F00A39B"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7.5.3 If the Seller fails to remedy within the applicable period the Buyer may, after five (5) Business Days’ further notice, carry out or procure the remedy and recover the reasonable cost by set-off, by call on the security or as a debt, without affecting the Seller’s warranties. Alternatively the </w:t>
      </w:r>
      <w:r>
        <w:rPr>
          <w:rFonts w:asciiTheme="minorHAnsi" w:hAnsiTheme="minorHAnsi" w:cstheme="minorHAnsi"/>
          <w:szCs w:val="22"/>
        </w:rPr>
        <w:lastRenderedPageBreak/>
        <w:t>Buyer may require a reduction of the Contract Price reflecting the diminished value.</w:t>
      </w:r>
      <w:r>
        <w:rPr>
          <w:rFonts w:asciiTheme="minorHAnsi" w:hAnsiTheme="minorHAnsi" w:cstheme="minorHAnsi"/>
          <w:szCs w:val="22"/>
        </w:rPr>
        <w:t xml:space="preserve"> No further notice period is required for measures reasonably necessary to protect persons, property or the environment from an imminent risk; the Buyer shall notify the Seller as soon as practicable and preserve the available evidence.</w:t>
      </w:r>
    </w:p>
    <w:p w14:paraId="369167EC"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7.5.4 Where a remedy may affect performance the Buyer may require the relevant tests of </w:t>
      </w:r>
      <w:r>
        <w:rPr>
          <w:rFonts w:asciiTheme="minorHAnsi" w:hAnsiTheme="minorHAnsi" w:cstheme="minorHAnsi"/>
          <w:szCs w:val="22"/>
          <w:highlight w:val="cyan"/>
        </w:rPr>
        <w:t>APPENDIX F</w:t>
      </w:r>
      <w:r>
        <w:rPr>
          <w:rFonts w:asciiTheme="minorHAnsi" w:hAnsiTheme="minorHAnsi" w:cstheme="minorHAnsi"/>
          <w:szCs w:val="22"/>
        </w:rPr>
        <w:t xml:space="preserve"> or </w:t>
      </w:r>
      <w:r>
        <w:rPr>
          <w:rFonts w:asciiTheme="minorHAnsi" w:hAnsiTheme="minorHAnsi" w:cstheme="minorHAnsi"/>
          <w:szCs w:val="22"/>
          <w:highlight w:val="cyan"/>
        </w:rPr>
        <w:t>APPENDIX J</w:t>
      </w:r>
      <w:r>
        <w:rPr>
          <w:rFonts w:asciiTheme="minorHAnsi" w:hAnsiTheme="minorHAnsi" w:cstheme="minorHAnsi"/>
          <w:szCs w:val="22"/>
        </w:rPr>
        <w:t xml:space="preserve"> to be repeated at the Seller’s cost. Neither acceptance, any certificate nor expiry of the Warranty Period releases the Seller from liability for Defects notified before expiry.</w:t>
      </w:r>
    </w:p>
    <w:p w14:paraId="034C90D2" w14:textId="77777777" w:rsidR="009E333E" w:rsidRDefault="00000000">
      <w:pPr>
        <w:pStyle w:val="Heading2"/>
        <w:spacing w:before="200" w:after="80"/>
        <w:ind w:left="360"/>
        <w:rPr>
          <w:rFonts w:asciiTheme="minorHAnsi" w:hAnsiTheme="minorHAnsi" w:cstheme="minorHAnsi"/>
          <w:szCs w:val="22"/>
        </w:rPr>
      </w:pPr>
      <w:r>
        <w:rPr>
          <w:rFonts w:asciiTheme="minorHAnsi" w:hAnsiTheme="minorHAnsi" w:cstheme="minorHAnsi"/>
          <w:szCs w:val="22"/>
        </w:rPr>
        <w:t>7.6 Independence of Warranties</w:t>
      </w:r>
    </w:p>
    <w:p w14:paraId="2B5C71BA" w14:textId="0EC63E3A"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7.6.1 The warranties and Performance Guarantees are not conditional on the Buyer procuring maintenance, monitoring, augmentation or any other service from the Seller or its affiliates. The Buyer may have the BESS operated and maintained by itself or by any competent contractor in accordance with </w:t>
      </w:r>
      <w:r>
        <w:rPr>
          <w:rFonts w:asciiTheme="minorHAnsi" w:hAnsiTheme="minorHAnsi" w:cstheme="minorHAnsi"/>
          <w:szCs w:val="22"/>
          <w:highlight w:val="cyan"/>
        </w:rPr>
        <w:t>APPENDIX N</w:t>
      </w:r>
      <w:r>
        <w:rPr>
          <w:rFonts w:asciiTheme="minorHAnsi" w:hAnsiTheme="minorHAnsi" w:cstheme="minorHAnsi"/>
          <w:szCs w:val="22"/>
        </w:rPr>
        <w:t xml:space="preserve">, and the Seller shall make available to that contractor the manuals, training, tools, Software access and spare parts available to its own service </w:t>
      </w:r>
      <w:r w:rsidR="002A6A0F">
        <w:rPr>
          <w:rFonts w:asciiTheme="minorHAnsi" w:hAnsiTheme="minorHAnsi" w:cstheme="minorHAnsi"/>
          <w:szCs w:val="22"/>
        </w:rPr>
        <w:t>organization</w:t>
      </w:r>
      <w:r>
        <w:rPr>
          <w:rFonts w:asciiTheme="minorHAnsi" w:hAnsiTheme="minorHAnsi" w:cstheme="minorHAnsi"/>
          <w:szCs w:val="22"/>
        </w:rPr>
        <w:t xml:space="preserve"> </w:t>
      </w:r>
      <w:r>
        <w:rPr>
          <w:rFonts w:asciiTheme="minorHAnsi" w:hAnsiTheme="minorHAnsi" w:cstheme="minorHAnsi"/>
          <w:szCs w:val="22"/>
        </w:rPr>
        <w:t xml:space="preserve">without additional charge to the extent included under Clauses 4.17, 6.3 or 10; additional spare parts and services are priced under Clause 6.8 and </w:t>
      </w:r>
      <w:r>
        <w:rPr>
          <w:rFonts w:asciiTheme="minorHAnsi" w:hAnsiTheme="minorHAnsi" w:cstheme="minorHAnsi"/>
          <w:szCs w:val="22"/>
          <w:highlight w:val="cyan"/>
        </w:rPr>
        <w:t>APPENDIX P</w:t>
      </w:r>
      <w:r>
        <w:rPr>
          <w:rFonts w:asciiTheme="minorHAnsi" w:hAnsiTheme="minorHAnsi" w:cstheme="minorHAnsi"/>
          <w:szCs w:val="22"/>
        </w:rPr>
        <w:t>.</w:t>
      </w:r>
    </w:p>
    <w:p w14:paraId="1483B136"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7.6.2 An act or omission of the Buyer, its operator or a third party relieves the Seller from a warranty or performance obligation only to the extent the Seller proves that it directly caused the Defect or shortfall and that the Defect or shortfall would not otherwise have occurred; the burden of proof rests with the Seller, and the acts of the Seller’s affiliates or appointed service providers never give rise to relief.</w:t>
      </w:r>
    </w:p>
    <w:p w14:paraId="1B32176C"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7.6.3 No warranty or Performance Guarantee is conditional on the BESS being continuously connected to any Seller monitoring platform. Interruptions of remote connectivity caused by the Buyer’s local network, internet service provider or site works do not reduce, suspend or shorten any warranty; the Buyer shall provide the Seller with the locally stored data for the affected period on request.</w:t>
      </w:r>
    </w:p>
    <w:p w14:paraId="6BB9438D" w14:textId="77777777" w:rsidR="009E333E" w:rsidRDefault="00000000">
      <w:pPr>
        <w:pStyle w:val="Heading1"/>
        <w:spacing w:after="120"/>
        <w:jc w:val="left"/>
        <w:rPr>
          <w:rFonts w:asciiTheme="minorHAnsi" w:hAnsiTheme="minorHAnsi" w:cstheme="minorHAnsi"/>
          <w:szCs w:val="22"/>
        </w:rPr>
      </w:pPr>
      <w:bookmarkStart w:id="9" w:name="_Toc242471398"/>
      <w:r>
        <w:rPr>
          <w:rFonts w:asciiTheme="minorHAnsi" w:hAnsiTheme="minorHAnsi" w:cstheme="minorHAnsi"/>
          <w:szCs w:val="22"/>
        </w:rPr>
        <w:t>8. Duration and Termination</w:t>
      </w:r>
      <w:bookmarkEnd w:id="9"/>
    </w:p>
    <w:p w14:paraId="3D6176B4" w14:textId="77777777" w:rsidR="009E333E" w:rsidRDefault="00000000">
      <w:pPr>
        <w:pStyle w:val="Heading2"/>
        <w:spacing w:before="200" w:after="80"/>
        <w:ind w:left="360"/>
        <w:rPr>
          <w:rFonts w:asciiTheme="minorHAnsi" w:hAnsiTheme="minorHAnsi" w:cstheme="minorHAnsi"/>
          <w:szCs w:val="22"/>
        </w:rPr>
      </w:pPr>
      <w:r>
        <w:rPr>
          <w:rFonts w:asciiTheme="minorHAnsi" w:hAnsiTheme="minorHAnsi" w:cstheme="minorHAnsi"/>
          <w:szCs w:val="22"/>
        </w:rPr>
        <w:t>8.1 Duration</w:t>
      </w:r>
    </w:p>
    <w:p w14:paraId="5F13A23E"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This Agreement remains in force until all obligations of the Parties, including delivery, payment, warranty, performance warranties and maintenance obligations, have been fully performed or have expired in accordance with this Agreement.</w:t>
      </w:r>
    </w:p>
    <w:p w14:paraId="0F440FF9" w14:textId="77777777" w:rsidR="009E333E" w:rsidRDefault="00000000">
      <w:pPr>
        <w:pStyle w:val="Heading2"/>
        <w:spacing w:before="200" w:after="80"/>
        <w:ind w:left="360"/>
        <w:rPr>
          <w:rFonts w:asciiTheme="minorHAnsi" w:hAnsiTheme="minorHAnsi" w:cstheme="minorHAnsi"/>
          <w:szCs w:val="22"/>
        </w:rPr>
      </w:pPr>
      <w:r>
        <w:rPr>
          <w:rFonts w:asciiTheme="minorHAnsi" w:hAnsiTheme="minorHAnsi" w:cstheme="minorHAnsi"/>
          <w:szCs w:val="22"/>
        </w:rPr>
        <w:t>8.2 Termination by the Buyer</w:t>
      </w:r>
    </w:p>
    <w:p w14:paraId="41258911"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The Buyer may terminate this Agreement in whole or in respect of any undelivered scope by written notice to the Seller if:</w:t>
      </w:r>
    </w:p>
    <w:p w14:paraId="58082133" w14:textId="77777777" w:rsidR="009E333E" w:rsidRDefault="00000000">
      <w:pPr>
        <w:spacing w:after="60"/>
        <w:ind w:left="1080"/>
        <w:jc w:val="both"/>
        <w:rPr>
          <w:rFonts w:asciiTheme="minorHAnsi" w:hAnsiTheme="minorHAnsi" w:cstheme="minorHAnsi"/>
          <w:szCs w:val="22"/>
        </w:rPr>
      </w:pPr>
      <w:r>
        <w:rPr>
          <w:rFonts w:asciiTheme="minorHAnsi" w:hAnsiTheme="minorHAnsi" w:cstheme="minorHAnsi"/>
          <w:szCs w:val="22"/>
        </w:rPr>
        <w:t>(a) a change in law occurs which (i) reduces the applicable tariff for the BESS by more than 10%, (ii) substantially limits the BESS’ operating hours, (iii) creates new taxes which have a substantial impact on the Buyer’s revenues or on the Buyer in general, or (iv) substantially reduces the revenues that would be obtained by the Buyer from the operation of the BESS;</w:t>
      </w:r>
    </w:p>
    <w:p w14:paraId="4AEE7B11" w14:textId="77777777" w:rsidR="009E333E" w:rsidRDefault="00000000">
      <w:pPr>
        <w:spacing w:after="60"/>
        <w:ind w:left="1080"/>
        <w:jc w:val="both"/>
        <w:rPr>
          <w:rFonts w:asciiTheme="minorHAnsi" w:hAnsiTheme="minorHAnsi" w:cstheme="minorHAnsi"/>
          <w:szCs w:val="22"/>
        </w:rPr>
      </w:pPr>
      <w:r>
        <w:rPr>
          <w:rFonts w:asciiTheme="minorHAnsi" w:hAnsiTheme="minorHAnsi" w:cstheme="minorHAnsi"/>
          <w:szCs w:val="22"/>
        </w:rPr>
        <w:t xml:space="preserve">(b) any power purchase agreement, tolling agreement, capacity contract or grid connection agreement on which the project depends is terminated, in which case the Buyer shall pay for </w:t>
      </w:r>
      <w:r>
        <w:rPr>
          <w:rFonts w:asciiTheme="minorHAnsi" w:hAnsiTheme="minorHAnsi" w:cstheme="minorHAnsi"/>
          <w:szCs w:val="22"/>
        </w:rPr>
        <w:lastRenderedPageBreak/>
        <w:t>units already delivered and accepted and the Seller shall refund any advance payment attributable to undelivered scope within ten (10) Business Days;</w:t>
      </w:r>
    </w:p>
    <w:p w14:paraId="39F41757" w14:textId="664E01B2" w:rsidR="009E333E" w:rsidRDefault="00000000">
      <w:pPr>
        <w:spacing w:after="60"/>
        <w:ind w:left="1080"/>
        <w:jc w:val="both"/>
        <w:rPr>
          <w:rFonts w:asciiTheme="minorHAnsi" w:hAnsiTheme="minorHAnsi" w:cstheme="minorHAnsi"/>
          <w:szCs w:val="22"/>
        </w:rPr>
      </w:pPr>
      <w:r>
        <w:rPr>
          <w:rFonts w:asciiTheme="minorHAnsi" w:hAnsiTheme="minorHAnsi" w:cstheme="minorHAnsi"/>
          <w:szCs w:val="22"/>
        </w:rPr>
        <w:t>(c) the termination conditions of Clause 9.3 are satisfied;</w:t>
      </w:r>
    </w:p>
    <w:p w14:paraId="6430281D" w14:textId="77777777" w:rsidR="009E333E" w:rsidRDefault="00000000">
      <w:pPr>
        <w:spacing w:after="60"/>
        <w:ind w:left="1080"/>
        <w:jc w:val="both"/>
        <w:rPr>
          <w:rFonts w:asciiTheme="minorHAnsi" w:hAnsiTheme="minorHAnsi" w:cstheme="minorHAnsi"/>
          <w:szCs w:val="22"/>
        </w:rPr>
      </w:pPr>
      <w:r>
        <w:rPr>
          <w:rFonts w:asciiTheme="minorHAnsi" w:hAnsiTheme="minorHAnsi" w:cstheme="minorHAnsi"/>
          <w:szCs w:val="22"/>
        </w:rPr>
        <w:t>(d) the Seller modifies the terms and conditions of supply of the BESS, in which case the Buyer may request a full refund of any advance payment made to the Seller;</w:t>
      </w:r>
    </w:p>
    <w:p w14:paraId="267FD3A0" w14:textId="77777777" w:rsidR="009E333E" w:rsidRDefault="00000000">
      <w:pPr>
        <w:spacing w:after="60"/>
        <w:ind w:left="1080"/>
        <w:jc w:val="both"/>
        <w:rPr>
          <w:rFonts w:asciiTheme="minorHAnsi" w:hAnsiTheme="minorHAnsi" w:cstheme="minorHAnsi"/>
          <w:szCs w:val="22"/>
        </w:rPr>
      </w:pPr>
      <w:r>
        <w:rPr>
          <w:rFonts w:asciiTheme="minorHAnsi" w:hAnsiTheme="minorHAnsi" w:cstheme="minorHAnsi"/>
          <w:szCs w:val="22"/>
        </w:rPr>
        <w:t>(e) the Seller or any guarantor of the Seller suffers an Insolvency Event;</w:t>
      </w:r>
    </w:p>
    <w:p w14:paraId="10E67AF8" w14:textId="77777777" w:rsidR="009E333E" w:rsidRDefault="00000000">
      <w:pPr>
        <w:spacing w:after="60"/>
        <w:ind w:left="1080"/>
        <w:jc w:val="both"/>
        <w:rPr>
          <w:rFonts w:asciiTheme="minorHAnsi" w:hAnsiTheme="minorHAnsi" w:cstheme="minorHAnsi"/>
          <w:szCs w:val="22"/>
        </w:rPr>
      </w:pPr>
      <w:r>
        <w:rPr>
          <w:rFonts w:asciiTheme="minorHAnsi" w:hAnsiTheme="minorHAnsi" w:cstheme="minorHAnsi"/>
          <w:szCs w:val="22"/>
        </w:rPr>
        <w:t>(f) the Seller fails to deliver, maintain or replace any security, guarantee or insurance required by this Agreement within ten (10) Business Days of notice;</w:t>
      </w:r>
    </w:p>
    <w:p w14:paraId="75082766" w14:textId="77777777" w:rsidR="009E333E" w:rsidRDefault="00000000">
      <w:pPr>
        <w:spacing w:after="60"/>
        <w:ind w:left="1080"/>
        <w:jc w:val="both"/>
        <w:rPr>
          <w:rFonts w:asciiTheme="minorHAnsi" w:hAnsiTheme="minorHAnsi" w:cstheme="minorHAnsi"/>
          <w:szCs w:val="22"/>
        </w:rPr>
      </w:pPr>
      <w:r>
        <w:rPr>
          <w:rFonts w:asciiTheme="minorHAnsi" w:hAnsiTheme="minorHAnsi" w:cstheme="minorHAnsi"/>
          <w:szCs w:val="22"/>
        </w:rPr>
        <w:t>(g) a Longstop Date is passed or the Delay LD Cap is reached;</w:t>
      </w:r>
    </w:p>
    <w:p w14:paraId="54DC73CE" w14:textId="59A40691" w:rsidR="009E333E" w:rsidRDefault="00000000">
      <w:pPr>
        <w:spacing w:after="60"/>
        <w:ind w:left="1080"/>
        <w:jc w:val="both"/>
        <w:rPr>
          <w:rFonts w:asciiTheme="minorHAnsi" w:hAnsiTheme="minorHAnsi" w:cstheme="minorHAnsi"/>
          <w:szCs w:val="22"/>
        </w:rPr>
      </w:pPr>
      <w:r>
        <w:rPr>
          <w:rFonts w:asciiTheme="minorHAnsi" w:hAnsiTheme="minorHAnsi" w:cstheme="minorHAnsi"/>
          <w:szCs w:val="22"/>
        </w:rPr>
        <w:t xml:space="preserve">(h) the Seller implements a change to the Critical Component List, the BOM, a manufacturing location, the cell supplier or the firmware baseline </w:t>
      </w:r>
      <w:r>
        <w:rPr>
          <w:rFonts w:asciiTheme="minorHAnsi" w:hAnsiTheme="minorHAnsi" w:cstheme="minorHAnsi"/>
          <w:szCs w:val="22"/>
        </w:rPr>
        <w:t>without the Buyer’s written approval or, for a Class C Change, otherwise than in accordance with Clause 4.4.4;</w:t>
      </w:r>
    </w:p>
    <w:p w14:paraId="28539A80" w14:textId="77777777" w:rsidR="009E333E" w:rsidRDefault="00000000">
      <w:pPr>
        <w:spacing w:after="60"/>
        <w:ind w:left="1080"/>
        <w:jc w:val="both"/>
        <w:rPr>
          <w:rFonts w:asciiTheme="minorHAnsi" w:hAnsiTheme="minorHAnsi" w:cstheme="minorHAnsi"/>
          <w:szCs w:val="22"/>
        </w:rPr>
      </w:pPr>
      <w:r>
        <w:rPr>
          <w:rFonts w:asciiTheme="minorHAnsi" w:hAnsiTheme="minorHAnsi" w:cstheme="minorHAnsi"/>
          <w:szCs w:val="22"/>
        </w:rPr>
        <w:t xml:space="preserve">(i) any batch fails Factory Acceptance Testing or Site Acceptance Testing on two occasions, or fails the laboratory tests of </w:t>
      </w:r>
      <w:r>
        <w:rPr>
          <w:rFonts w:asciiTheme="minorHAnsi" w:hAnsiTheme="minorHAnsi" w:cstheme="minorHAnsi"/>
          <w:szCs w:val="22"/>
          <w:highlight w:val="cyan"/>
        </w:rPr>
        <w:t>APPENDIX O</w:t>
      </w:r>
      <w:r>
        <w:rPr>
          <w:rFonts w:asciiTheme="minorHAnsi" w:hAnsiTheme="minorHAnsi" w:cstheme="minorHAnsi"/>
          <w:szCs w:val="22"/>
        </w:rPr>
        <w:t xml:space="preserve"> and is not replaced and successfully re-tested within sixty (60) days;</w:t>
      </w:r>
    </w:p>
    <w:p w14:paraId="2A5AF339" w14:textId="049CE104" w:rsidR="009E333E" w:rsidRDefault="00000000">
      <w:pPr>
        <w:spacing w:after="60"/>
        <w:ind w:left="1080"/>
        <w:jc w:val="both"/>
        <w:rPr>
          <w:rFonts w:asciiTheme="minorHAnsi" w:hAnsiTheme="minorHAnsi" w:cstheme="minorHAnsi"/>
          <w:szCs w:val="22"/>
        </w:rPr>
      </w:pPr>
      <w:r>
        <w:rPr>
          <w:rFonts w:asciiTheme="minorHAnsi" w:hAnsiTheme="minorHAnsi" w:cstheme="minorHAnsi"/>
          <w:szCs w:val="22"/>
        </w:rPr>
        <w:t xml:space="preserve">(j) the Seller fails to notify or to remedy a Serial Defect or a safety-related Defect </w:t>
      </w:r>
      <w:r>
        <w:rPr>
          <w:rFonts w:asciiTheme="minorHAnsi" w:hAnsiTheme="minorHAnsi" w:cstheme="minorHAnsi"/>
          <w:szCs w:val="22"/>
        </w:rPr>
        <w:t xml:space="preserve">within the periods stated in Clauses 7.4 and 7.5 and </w:t>
      </w:r>
      <w:r>
        <w:rPr>
          <w:rFonts w:asciiTheme="minorHAnsi" w:hAnsiTheme="minorHAnsi" w:cstheme="minorHAnsi"/>
          <w:szCs w:val="22"/>
          <w:highlight w:val="cyan"/>
        </w:rPr>
        <w:t>APPENDICES P and W</w:t>
      </w:r>
      <w:r>
        <w:rPr>
          <w:rFonts w:asciiTheme="minorHAnsi" w:hAnsiTheme="minorHAnsi" w:cstheme="minorHAnsi"/>
          <w:szCs w:val="22"/>
        </w:rPr>
        <w:t>;</w:t>
      </w:r>
    </w:p>
    <w:p w14:paraId="7E31998F" w14:textId="77777777" w:rsidR="009E333E" w:rsidRDefault="00000000">
      <w:pPr>
        <w:spacing w:after="60"/>
        <w:ind w:left="1080"/>
        <w:jc w:val="both"/>
        <w:rPr>
          <w:rFonts w:asciiTheme="minorHAnsi" w:hAnsiTheme="minorHAnsi" w:cstheme="minorHAnsi"/>
          <w:szCs w:val="22"/>
        </w:rPr>
      </w:pPr>
      <w:r>
        <w:rPr>
          <w:rFonts w:asciiTheme="minorHAnsi" w:hAnsiTheme="minorHAnsi" w:cstheme="minorHAnsi"/>
          <w:szCs w:val="22"/>
        </w:rPr>
        <w:t>(k) the Seller breaches Clause 4.7 (Cybersecurity), Clause 4.15 (Compliance) or Clause 12 (Subcontracting);</w:t>
      </w:r>
    </w:p>
    <w:p w14:paraId="4FDD0A92" w14:textId="77777777" w:rsidR="009E333E" w:rsidRDefault="00000000">
      <w:pPr>
        <w:spacing w:after="60"/>
        <w:ind w:left="1080"/>
        <w:jc w:val="both"/>
        <w:rPr>
          <w:rFonts w:asciiTheme="minorHAnsi" w:hAnsiTheme="minorHAnsi" w:cstheme="minorHAnsi"/>
          <w:szCs w:val="22"/>
        </w:rPr>
      </w:pPr>
      <w:r>
        <w:rPr>
          <w:rFonts w:asciiTheme="minorHAnsi" w:hAnsiTheme="minorHAnsi" w:cstheme="minorHAnsi"/>
          <w:szCs w:val="22"/>
        </w:rPr>
        <w:t>(l) the Seller assigns in breach of Clause 13 or abandons performance;</w:t>
      </w:r>
    </w:p>
    <w:p w14:paraId="6DEB5409" w14:textId="77777777" w:rsidR="009E333E" w:rsidRDefault="00000000">
      <w:pPr>
        <w:spacing w:after="60"/>
        <w:ind w:left="1080"/>
        <w:jc w:val="both"/>
        <w:rPr>
          <w:rFonts w:asciiTheme="minorHAnsi" w:hAnsiTheme="minorHAnsi" w:cstheme="minorHAnsi"/>
          <w:szCs w:val="22"/>
        </w:rPr>
      </w:pPr>
      <w:r>
        <w:rPr>
          <w:rFonts w:asciiTheme="minorHAnsi" w:hAnsiTheme="minorHAnsi" w:cstheme="minorHAnsi"/>
          <w:szCs w:val="22"/>
        </w:rPr>
        <w:t>(m) the Seller fails to pay any undisputed sum, including liquidated damages, within twenty-eight (28) days of notice; or</w:t>
      </w:r>
    </w:p>
    <w:p w14:paraId="7803C4AB" w14:textId="77777777" w:rsidR="009E333E" w:rsidRDefault="00000000">
      <w:pPr>
        <w:spacing w:after="60"/>
        <w:ind w:left="1080"/>
        <w:jc w:val="both"/>
        <w:rPr>
          <w:rFonts w:asciiTheme="minorHAnsi" w:hAnsiTheme="minorHAnsi" w:cstheme="minorHAnsi"/>
          <w:szCs w:val="22"/>
        </w:rPr>
      </w:pPr>
      <w:r>
        <w:rPr>
          <w:rFonts w:asciiTheme="minorHAnsi" w:hAnsiTheme="minorHAnsi" w:cstheme="minorHAnsi"/>
          <w:szCs w:val="22"/>
        </w:rPr>
        <w:t>(n) the Seller commits any other Material Breach that is not remedied within fourteen (14) days of notice or, where it cannot be remedied in that period, for which the Seller has not within that period submitted and thereafter complied with a remediation plan acceptable to the Buyer.</w:t>
      </w:r>
    </w:p>
    <w:p w14:paraId="439CC770" w14:textId="77777777" w:rsidR="009E333E" w:rsidRDefault="00000000">
      <w:pPr>
        <w:pStyle w:val="Heading2"/>
        <w:spacing w:before="200" w:after="80"/>
        <w:ind w:left="360"/>
        <w:rPr>
          <w:rFonts w:asciiTheme="minorHAnsi" w:hAnsiTheme="minorHAnsi" w:cstheme="minorHAnsi"/>
          <w:szCs w:val="22"/>
        </w:rPr>
      </w:pPr>
      <w:r>
        <w:rPr>
          <w:rFonts w:asciiTheme="minorHAnsi" w:hAnsiTheme="minorHAnsi" w:cstheme="minorHAnsi"/>
          <w:szCs w:val="22"/>
        </w:rPr>
        <w:t>8.3 Termination by the Seller</w:t>
      </w:r>
    </w:p>
    <w:p w14:paraId="709BDC24" w14:textId="36F31404"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Without prejudice to Clause 9.3, the Seller may terminate this Agreement only if (a)</w:t>
      </w:r>
      <w:r>
        <w:rPr>
          <w:rFonts w:asciiTheme="minorHAnsi" w:hAnsiTheme="minorHAnsi" w:cstheme="minorHAnsi"/>
          <w:szCs w:val="22"/>
        </w:rPr>
        <w:t xml:space="preserve"> the Buyer suffers an Insolvency Event, or (b) the Buyer fails to pay an undisputed sum greater than </w:t>
      </w:r>
      <w:r>
        <w:rPr>
          <w:rFonts w:asciiTheme="minorHAnsi" w:hAnsiTheme="minorHAnsi" w:cstheme="minorHAnsi"/>
          <w:szCs w:val="22"/>
          <w:highlight w:val="yellow"/>
        </w:rPr>
        <w:t>[ten per cent (10%)]</w:t>
      </w:r>
      <w:r>
        <w:rPr>
          <w:rFonts w:asciiTheme="minorHAnsi" w:hAnsiTheme="minorHAnsi" w:cstheme="minorHAnsi"/>
          <w:szCs w:val="22"/>
        </w:rPr>
        <w:t xml:space="preserve"> of the Contract Price within thirty (30) days after receipt of a written notice identifying the invoice, the amount and the consequence of non-payment, and the failure continues for a further fourteen (14) days after a second written notice. Amounts withheld by the Buyer under a written notice of dispute, by set-off under Clause 6.10.5 or pending delivery of security required by this Agreement are not undisputed sums. </w:t>
      </w:r>
      <w:r>
        <w:rPr>
          <w:rFonts w:asciiTheme="minorHAnsi" w:hAnsiTheme="minorHAnsi" w:cstheme="minorHAnsi"/>
          <w:szCs w:val="22"/>
        </w:rPr>
        <w:t>The Seller may suspend shipment only after an undisputed sum has become overdue and the first notice period under paragraph (b) has expired, and shall continue to store, preserve, support and warrant the BESS; sums validly withheld under Clause 6.10.5 or pending required security do not entitle the Seller to suspend.</w:t>
      </w:r>
      <w:r>
        <w:rPr>
          <w:rFonts w:asciiTheme="minorHAnsi" w:hAnsiTheme="minorHAnsi" w:cstheme="minorHAnsi"/>
          <w:szCs w:val="22"/>
        </w:rPr>
        <w:t xml:space="preserve"> Any termination under this Clause shall be effected by written notice.</w:t>
      </w:r>
    </w:p>
    <w:p w14:paraId="265943B8" w14:textId="77777777" w:rsidR="009E333E" w:rsidRDefault="00000000">
      <w:pPr>
        <w:pStyle w:val="Heading2"/>
        <w:spacing w:before="200" w:after="80"/>
        <w:ind w:left="360"/>
        <w:rPr>
          <w:rFonts w:asciiTheme="minorHAnsi" w:hAnsiTheme="minorHAnsi" w:cstheme="minorHAnsi"/>
          <w:szCs w:val="22"/>
        </w:rPr>
      </w:pPr>
      <w:r>
        <w:rPr>
          <w:rFonts w:asciiTheme="minorHAnsi" w:hAnsiTheme="minorHAnsi" w:cstheme="minorHAnsi"/>
          <w:szCs w:val="22"/>
        </w:rPr>
        <w:t>8.4 Consequences of Termination by the Buyer</w:t>
      </w:r>
    </w:p>
    <w:p w14:paraId="4987C03C"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On termination by the Buyer under Clause 8.2 (e) to (n) the Seller shall, at the Buyer’s election: deliver to the Buyer any completed or partly completed units, spare parts, documents, Software and licences for which the Buyer has paid or elects to pay a fair value; assign all component warranties and sub-supply contracts; refund any advance payment attributable to undelivered </w:t>
      </w:r>
      <w:r>
        <w:rPr>
          <w:rFonts w:asciiTheme="minorHAnsi" w:hAnsiTheme="minorHAnsi" w:cstheme="minorHAnsi"/>
          <w:szCs w:val="22"/>
        </w:rPr>
        <w:lastRenderedPageBreak/>
        <w:t>scope within ten (10) Business Days; and pay the Buyer’s additional cost of procuring replacement equipment, re-engineering, re-certification and delay, together with accrued liquidated damages, subject to Clause 14.1. The Buyer may call the securities for these sums and may set them off against any amount otherwise due.</w:t>
      </w:r>
      <w:r>
        <w:rPr>
          <w:rFonts w:asciiTheme="minorHAnsi" w:hAnsiTheme="minorHAnsi" w:cstheme="minorHAnsi"/>
          <w:szCs w:val="22"/>
        </w:rPr>
        <w:t xml:space="preserve"> The value of any units, materials or work in progress transferred to the Buyer under this Clause is credited in the termination account, and the Buyer shall not receive both a paid-for item and a refund of the payment allocated to it; sub-supply contracts are assigned to the extent assignable, the Seller procuring any required consent. No amount is recoverable twice for the same loss.</w:t>
      </w:r>
    </w:p>
    <w:p w14:paraId="77E6A831"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For termination under Clause 8.2 (a) or (b), the Buyer shall pay for units delivered and accepted before termination and the Seller shall refund payments allocated to undelivered scope within ten (10) Business Days; no cancellation fee is payable unless expressly stated in </w:t>
      </w:r>
      <w:r>
        <w:rPr>
          <w:rFonts w:asciiTheme="minorHAnsi" w:hAnsiTheme="minorHAnsi" w:cstheme="minorHAnsi"/>
          <w:szCs w:val="22"/>
          <w:highlight w:val="cyan"/>
        </w:rPr>
        <w:t>APPENDIX A</w:t>
      </w:r>
      <w:r>
        <w:rPr>
          <w:rFonts w:asciiTheme="minorHAnsi" w:hAnsiTheme="minorHAnsi" w:cstheme="minorHAnsi"/>
          <w:szCs w:val="22"/>
        </w:rPr>
        <w:t>. Termination under Clause 8.2 (c) is governed by Clause 9.3. Termination under Clause 8.2 (d) is governed by this Clause 8.4.</w:t>
      </w:r>
    </w:p>
    <w:p w14:paraId="66CF5D4E" w14:textId="77777777" w:rsidR="009E333E" w:rsidRDefault="00000000">
      <w:pPr>
        <w:pStyle w:val="Heading2"/>
        <w:spacing w:before="200" w:after="80"/>
        <w:ind w:left="360"/>
        <w:rPr>
          <w:rFonts w:asciiTheme="minorHAnsi" w:hAnsiTheme="minorHAnsi" w:cstheme="minorHAnsi"/>
          <w:szCs w:val="22"/>
        </w:rPr>
      </w:pPr>
      <w:r>
        <w:rPr>
          <w:rFonts w:asciiTheme="minorHAnsi" w:hAnsiTheme="minorHAnsi" w:cstheme="minorHAnsi"/>
          <w:szCs w:val="22"/>
        </w:rPr>
        <w:t>8.5 Termination for Convenience</w:t>
      </w:r>
    </w:p>
    <w:p w14:paraId="3C3B5CC4"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The Buyer may terminate this Agreement for convenience on thirty (30) days’ written notice. In that case the Buyer shall pay for units delivered or completed and accepted, the Seller’s reasonable and documented unrecoverable costs for work in progress on Key Components ordered specifically for the Buyer, and a cancellation fee not exceeding </w:t>
      </w:r>
      <w:r>
        <w:rPr>
          <w:rFonts w:asciiTheme="minorHAnsi" w:hAnsiTheme="minorHAnsi" w:cstheme="minorHAnsi"/>
          <w:szCs w:val="22"/>
          <w:highlight w:val="yellow"/>
        </w:rPr>
        <w:t>[five per cent (5%)]</w:t>
      </w:r>
      <w:r>
        <w:rPr>
          <w:rFonts w:asciiTheme="minorHAnsi" w:hAnsiTheme="minorHAnsi" w:cstheme="minorHAnsi"/>
          <w:szCs w:val="22"/>
        </w:rPr>
        <w:t xml:space="preserve"> of the price of the cancelled scope, as the Seller’s sole compensation; any advance payment already made is credited against those sums and ownership of any items paid for passes to the Buyer.</w:t>
      </w:r>
    </w:p>
    <w:p w14:paraId="4C62A677" w14:textId="77777777" w:rsidR="009E333E" w:rsidRDefault="00000000">
      <w:pPr>
        <w:pStyle w:val="Heading1"/>
        <w:spacing w:after="120"/>
        <w:jc w:val="left"/>
        <w:rPr>
          <w:rFonts w:asciiTheme="minorHAnsi" w:hAnsiTheme="minorHAnsi" w:cstheme="minorHAnsi"/>
          <w:szCs w:val="22"/>
        </w:rPr>
      </w:pPr>
      <w:bookmarkStart w:id="10" w:name="_Toc242471399"/>
      <w:r>
        <w:rPr>
          <w:rFonts w:asciiTheme="minorHAnsi" w:hAnsiTheme="minorHAnsi" w:cstheme="minorHAnsi"/>
          <w:szCs w:val="22"/>
        </w:rPr>
        <w:t>9. Force Majeure</w:t>
      </w:r>
      <w:bookmarkEnd w:id="10"/>
    </w:p>
    <w:p w14:paraId="7F990635"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9.1 “Force Majeure” means an event arising after the Effective Date that (i) is beyond the reasonable control of the affected Party and of its subcontractors and suppliers of any tier, (ii) could not reasonably have been foreseen or provided against at the Effective Date, (iii) cannot be avoided or overcome by reasonable diligence, and (iv) prevents or delays the performance of an obligation other than an obligation to pay money. Subject to those conditions, Force Majeure includes war, terrorism, riot, natural catastrophe, epidemic control measures imposed after the Effective Date and government action of general application. Force Majeure does not include shortage or price increase of cells, raw materials, components, labour or shipping capacity; strikes confined to the workforce of the Seller or its subcontractors; delay or default of a subcontractor, sub-supplier or carrier; loss of or damage to the BESS while at the Seller’s risk; sanctions, export restrictions or customs detention attributable to the Seller’s supply chain; or any event that affects only the cost of performance.</w:t>
      </w:r>
    </w:p>
    <w:p w14:paraId="2C901D6F"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9.2 The affected Party shall notify the other Party within seven (7) days of becoming aware of the event, giving details and a mitigation plan, shall update the other Party every fourteen (14) days and shall use all reasonable endeavours to resume performance. The only relief is an extension of the affected dates for the period of actual critical-path delay from the date of notice; no additional payment is due. The Seller shall continue to store, preserve and insure the BESS during the event.</w:t>
      </w:r>
    </w:p>
    <w:p w14:paraId="2FC600AB"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9.3 If Force Majeure prevents substantially all performance for more than one hundred and twenty (120) consecutive days, either Party may terminate this Agreement by written notice, whereupon the Seller shall refund any advance payment attributable to undelivered scope and the Buyer shall pay for units delivered and accepted, and neither Party shall have further liability for that termination.</w:t>
      </w:r>
      <w:r>
        <w:rPr>
          <w:rFonts w:asciiTheme="minorHAnsi" w:hAnsiTheme="minorHAnsi" w:cstheme="minorHAnsi"/>
          <w:szCs w:val="22"/>
        </w:rPr>
        <w:t xml:space="preserve"> Termination does not affect accrued rights, payment obligations or the provisions that survive termination.</w:t>
      </w:r>
    </w:p>
    <w:p w14:paraId="5A1475B0" w14:textId="77777777" w:rsidR="009E333E" w:rsidRDefault="00000000">
      <w:pPr>
        <w:pStyle w:val="Heading1"/>
        <w:spacing w:after="120"/>
        <w:jc w:val="left"/>
        <w:rPr>
          <w:rFonts w:asciiTheme="minorHAnsi" w:hAnsiTheme="minorHAnsi" w:cstheme="minorHAnsi"/>
          <w:szCs w:val="22"/>
        </w:rPr>
      </w:pPr>
      <w:bookmarkStart w:id="11" w:name="_Toc242471400"/>
      <w:r>
        <w:rPr>
          <w:rFonts w:asciiTheme="minorHAnsi" w:hAnsiTheme="minorHAnsi" w:cstheme="minorHAnsi"/>
          <w:szCs w:val="22"/>
        </w:rPr>
        <w:lastRenderedPageBreak/>
        <w:t>10. Intellectual Property, Software and Data</w:t>
      </w:r>
      <w:bookmarkEnd w:id="11"/>
    </w:p>
    <w:p w14:paraId="5DF3CB69" w14:textId="2653AAB5"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10.1 Each Party retains its pre-existing intellectual property rights and know-how. Subject to Clauses 10.7 and 10.8, the Seller retains the intellectual property rights it independently develops in performing this Agreement and grants the licences in Clause 10.2. Ownership of any jointly developed improvement shall be agreed in writing before that development begins; no transfer of the Buyer’s data, pre-existing intellectual property or engineering contributions is implied. The Buyer’s rights to use the Seller’s technical information and Software are set out in this Clause.</w:t>
      </w:r>
    </w:p>
    <w:p w14:paraId="6CCF5941"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10.2 Licence. The Seller grants the Buyer and its successors a perpetual, irrevocable, worldwide, royalty-free, non-exclusive, transferable and sub-licensable licence to use all firmware, Software, documentation, drawings, manuals, specifications and test data supplied with the BESS for the operation, maintenance, monitoring, repair, modification, augmentation, repowering and decommissioning of the BESS, extending to the Buyer’s affiliates, financiers, insurers, regulators, advisers, operators, maintenance contractors, the Selected Third-Party and any purchaser of the project.</w:t>
      </w:r>
    </w:p>
    <w:p w14:paraId="699FF1D8"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10.3 Updates. For the longer of fifteen (15) years from Site Acceptance and the operating life of the BESS the Seller shall provide without charge all firmware and Software releases, security patches, bug fixes and compatibility updates needed for safe, warranted and fully functional operation, together with release notes. Each update shall be tested by the Seller for compatibility with the installed configuration before deployment and shall not reduce performance, safety, functionality, availability, data access or warranty coverage; if it does, the Seller shall restore the previous version and remedy the defect at its own cost, and any resulting downtime counts against Availability.</w:t>
      </w:r>
    </w:p>
    <w:p w14:paraId="380DE694"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10.4 Remote access. The Seller shall have no remote access to the BESS except with the Buyer’s written approval for a stated purpose and period, on a least-privilege basis through the Buyer’s secure access gateway with multi-factor authentication, with all sessions logged and the logs made available to the Buyer, and revocable at any time without liability. Any undisclosed or unapproved access is a breach of Clause 4.7.</w:t>
      </w:r>
    </w:p>
    <w:p w14:paraId="08537FF4" w14:textId="72C89FA4"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10.5 Escrow. Within sixty (60) days of Site Acceptance the Seller shall deposit the source code, build instructions and configuration files of the BMS, EMS and controller Software with an independent escrow agent under a three-party agreement, update the deposit with each release, and the Buyer may obtain release of the deposit if the Seller ceases to support the Software, suffers an Insolvency Event </w:t>
      </w:r>
      <w:r>
        <w:rPr>
          <w:rFonts w:asciiTheme="minorHAnsi" w:hAnsiTheme="minorHAnsi" w:cstheme="minorHAnsi"/>
          <w:szCs w:val="22"/>
        </w:rPr>
        <w:t xml:space="preserve">or fails to meet the critical-vulnerability remediation deadline stated in </w:t>
      </w:r>
      <w:r>
        <w:rPr>
          <w:rFonts w:asciiTheme="minorHAnsi" w:hAnsiTheme="minorHAnsi" w:cstheme="minorHAnsi"/>
          <w:szCs w:val="22"/>
          <w:highlight w:val="cyan"/>
        </w:rPr>
        <w:t>APPENDIX V</w:t>
      </w:r>
      <w:r>
        <w:rPr>
          <w:rFonts w:asciiTheme="minorHAnsi" w:hAnsiTheme="minorHAnsi" w:cstheme="minorHAnsi"/>
          <w:szCs w:val="22"/>
        </w:rPr>
        <w:t xml:space="preserve"> section 9. The Seller shall procure the necessary rights from its OEMs; the released materials are licensed to the Buyer and its nominated contractors under Clause 10.2 to reproduce, compile, modify and maintain the Software for the BESS; and the escrow agreement shall state the verification procedure, deposit updates, fees and release process.</w:t>
      </w:r>
    </w:p>
    <w:p w14:paraId="0660725C"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10.6 Software documentation and training sufficient for the Buyer’s personnel and contractors to operate, configure and update the Software are included in the Contract Price.</w:t>
      </w:r>
    </w:p>
    <w:p w14:paraId="3D0FE82C"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10.7 Data ownership. All data generated by or stored in the BMS, EMS, PCS, SCADA, safety and monitoring systems of the BESS, at every level from cell to system, belongs to the Buyer from the moment of creation and is the Buyer’s confidential information. The Seller may use that data only to perform this Agreement and shall not disclose, aggregate, sell or use it to train models without the Buyer’s written consent. The Seller shall ensure continuous access and full export of the data </w:t>
      </w:r>
      <w:r>
        <w:rPr>
          <w:rFonts w:asciiTheme="minorHAnsi" w:hAnsiTheme="minorHAnsi" w:cstheme="minorHAnsi"/>
          <w:szCs w:val="22"/>
        </w:rPr>
        <w:lastRenderedPageBreak/>
        <w:t>in a documented open format at the level of the raw signals, free of charge and without dependency on any Seller cloud service, during and after the Warranty Period.</w:t>
      </w:r>
    </w:p>
    <w:p w14:paraId="264AB508"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10.8 Nothing in this Clause transfers ownership of the Seller’s pre-existing intellectual property to the Buyer, and nothing in this Agreement assigns to the Seller any improvement developed with the Buyer’s data or engineering input.</w:t>
      </w:r>
    </w:p>
    <w:p w14:paraId="1B0FAD9B" w14:textId="77777777" w:rsidR="009E333E" w:rsidRDefault="00000000">
      <w:pPr>
        <w:pStyle w:val="Heading1"/>
        <w:spacing w:after="120"/>
        <w:jc w:val="left"/>
        <w:rPr>
          <w:rFonts w:asciiTheme="minorHAnsi" w:hAnsiTheme="minorHAnsi" w:cstheme="minorHAnsi"/>
          <w:szCs w:val="22"/>
        </w:rPr>
      </w:pPr>
      <w:bookmarkStart w:id="12" w:name="_Toc242471401"/>
      <w:r>
        <w:rPr>
          <w:rFonts w:asciiTheme="minorHAnsi" w:hAnsiTheme="minorHAnsi" w:cstheme="minorHAnsi"/>
          <w:szCs w:val="22"/>
        </w:rPr>
        <w:t>11. Confidentiality</w:t>
      </w:r>
      <w:bookmarkEnd w:id="12"/>
    </w:p>
    <w:p w14:paraId="4383C18A" w14:textId="69BEC613"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Each Party undertakes that it and its staff members (including employees) shall keep confidential and protect from disclosure all confidential information obtained from the other Party in connection with the Agreement or any Purchase Order unless otherwise expressly authorised by the other Party in writing. </w:t>
      </w:r>
      <w:r>
        <w:rPr>
          <w:rFonts w:asciiTheme="minorHAnsi" w:hAnsiTheme="minorHAnsi" w:cstheme="minorHAnsi"/>
          <w:szCs w:val="22"/>
        </w:rPr>
        <w:t>Each Party may use such confidential information only to perform this Agreement or to exercise the rights expressly granted by it, including the permitted operation, maintenance, financing, insurance, transfer and enforcement of the BESS and of this Agreement; the Buyer’s ownership and use of its own data under Clause 10.7 are unrestricted.</w:t>
      </w:r>
      <w:r>
        <w:rPr>
          <w:rFonts w:asciiTheme="minorHAnsi" w:hAnsiTheme="minorHAnsi" w:cstheme="minorHAnsi"/>
          <w:szCs w:val="22"/>
        </w:rPr>
        <w:t xml:space="preserve"> This Clause survives the termination of the Agreement. The obligation does not apply to information that is or becomes public other than through breach, was already lawfully held by the recipient, is independently developed, or must be disclosed by law, a court, an arbitral tribunal, a regulator or a stock exchange. Either Party may disclose confidential information to its affiliates, financiers, insurers, </w:t>
      </w:r>
      <w:r>
        <w:rPr>
          <w:rFonts w:asciiTheme="minorHAnsi" w:hAnsiTheme="minorHAnsi" w:cstheme="minorHAnsi"/>
          <w:szCs w:val="22"/>
        </w:rPr>
        <w:t>professional advisers, the Selected Third-Party and nominated technical and maintenance contractors and,</w:t>
      </w:r>
      <w:r>
        <w:rPr>
          <w:rFonts w:asciiTheme="minorHAnsi" w:hAnsiTheme="minorHAnsi" w:cstheme="minorHAnsi"/>
          <w:szCs w:val="22"/>
        </w:rPr>
        <w:t xml:space="preserve"> in the case of the Buyer, to any prospective purchaser of the project, its operator and its grid operator, in each case under equivalent confidentiality obligations. The obligations under this Clause continue for </w:t>
      </w:r>
      <w:r>
        <w:rPr>
          <w:rFonts w:asciiTheme="minorHAnsi" w:hAnsiTheme="minorHAnsi" w:cstheme="minorHAnsi"/>
          <w:szCs w:val="22"/>
          <w:highlight w:val="yellow"/>
        </w:rPr>
        <w:t>[five (5)]</w:t>
      </w:r>
      <w:r>
        <w:rPr>
          <w:rFonts w:asciiTheme="minorHAnsi" w:hAnsiTheme="minorHAnsi" w:cstheme="minorHAnsi"/>
          <w:szCs w:val="22"/>
        </w:rPr>
        <w:t xml:space="preserve"> years after expiry or termination, and indefinitely for trade secrets and the data referred to in Clause 10.7. No public announcement or press release concerning this Agreement shall be made by the Seller or the Buyer without the prior written consent of the other Party.</w:t>
      </w:r>
    </w:p>
    <w:p w14:paraId="30A4A7BF" w14:textId="77777777" w:rsidR="009E333E" w:rsidRDefault="00000000">
      <w:pPr>
        <w:pStyle w:val="Heading1"/>
        <w:spacing w:after="120"/>
        <w:jc w:val="left"/>
        <w:rPr>
          <w:rFonts w:asciiTheme="minorHAnsi" w:hAnsiTheme="minorHAnsi" w:cstheme="minorHAnsi"/>
          <w:szCs w:val="22"/>
        </w:rPr>
      </w:pPr>
      <w:bookmarkStart w:id="13" w:name="_Toc242471402"/>
      <w:r>
        <w:rPr>
          <w:rFonts w:asciiTheme="minorHAnsi" w:hAnsiTheme="minorHAnsi" w:cstheme="minorHAnsi"/>
          <w:szCs w:val="22"/>
        </w:rPr>
        <w:t>12. Subcontracting and OEM Supply</w:t>
      </w:r>
      <w:bookmarkEnd w:id="13"/>
    </w:p>
    <w:p w14:paraId="37C41158"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12.1 The Seller agrees and acknowledges that it shall not use the services or resources of any third-party OEM (Original Equipment Manufacturer) or subcontractor in the fulfilment of its obligations under this Agreement unless explicitly authorised in writing by the Buyer.</w:t>
      </w:r>
    </w:p>
    <w:p w14:paraId="77DA3754"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12.2 In the event that the Seller proposes to use any third-party OEM or subcontractor, the Buyer has the right, at its sole discretion, to conduct, or to appoint the Selected Third-Party to conduct, a pre-production audit of such OEM or subcontractor. The audit may include assessment of quality management systems, manufacturing processes, ESG compliance, supply chain management and traceability. The Seller shall ensure full cooperation of the proposed OEM or subcontractor and provide all access, documentation and support required to complete the audit. The Buyer has the sole right to accept or reject the proposed OEM or subcontractor based on the results of the audit, without any liability, and no use of the OEM or subcontractor shall commence without the Buyer’s prior written approval following completion of the audit.</w:t>
      </w:r>
    </w:p>
    <w:p w14:paraId="098993F8"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12.3 This Clause applies equally to any arrangement under which goods made by another entity are supplied under the Seller’s name, mark, nameplate or type designation, whether or not that arrangement is subcontracting at law.</w:t>
      </w:r>
    </w:p>
    <w:p w14:paraId="7DFE4DB5"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12.4 The Seller shall notify the Buyer at least thirty (30) days before any approved subcontractor starts manufacture of any part of the BESS, identifying the entity, the production facility and address, the scope and the planned production dates. Approval of a subcontractor is specific to </w:t>
      </w:r>
      <w:r>
        <w:rPr>
          <w:rFonts w:asciiTheme="minorHAnsi" w:hAnsiTheme="minorHAnsi" w:cstheme="minorHAnsi"/>
          <w:szCs w:val="22"/>
        </w:rPr>
        <w:lastRenderedPageBreak/>
        <w:t>that entity, facility and scope, is not transferable, and lapses automatically if the subcontractor relocates production, changes its own supplier of cells or other Key Components or materially alters its process. An approved subcontractor may not subcontract any part of its scope without further approval under this Clause.</w:t>
      </w:r>
    </w:p>
    <w:p w14:paraId="1FF816EF"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12.5 Each subcontract shall contain terms no less protective of the Buyer than this Agreement as to specification, quality, serial-number and batch traceability, warranty, inspection and audit access, compliance, cybersecurity, confidentiality and intellectual property, and the Seller shall provide a copy with prices redacted on request.</w:t>
      </w:r>
    </w:p>
    <w:p w14:paraId="0B94A42C"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12.6 Goods made or supplied in breach of this Clause are Defects: the Buyer may reject them and require replacement at the Seller’s cost with no extension of time, and the Seller shall reimburse any audit, re-inspection or re-test expense that the breach causes.</w:t>
      </w:r>
    </w:p>
    <w:p w14:paraId="606ADB30" w14:textId="77777777" w:rsidR="009E333E" w:rsidRDefault="00000000">
      <w:pPr>
        <w:pStyle w:val="Heading1"/>
        <w:spacing w:after="120"/>
        <w:jc w:val="left"/>
        <w:rPr>
          <w:rFonts w:asciiTheme="minorHAnsi" w:hAnsiTheme="minorHAnsi" w:cstheme="minorHAnsi"/>
          <w:szCs w:val="22"/>
        </w:rPr>
      </w:pPr>
      <w:bookmarkStart w:id="14" w:name="_Toc242471403"/>
      <w:r>
        <w:rPr>
          <w:rFonts w:asciiTheme="minorHAnsi" w:hAnsiTheme="minorHAnsi" w:cstheme="minorHAnsi"/>
          <w:szCs w:val="22"/>
        </w:rPr>
        <w:t>13. Assignment</w:t>
      </w:r>
      <w:bookmarkEnd w:id="14"/>
    </w:p>
    <w:p w14:paraId="7E67AAE8"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13.1 The Seller shall not assign, novate, charge or otherwise transfer this Agreement or any right under it without the Buyer’s prior written consent.</w:t>
      </w:r>
    </w:p>
    <w:p w14:paraId="6A148AC1"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13.2 The Buyer may, on written notice and without the Seller’s consent, assign or charge the benefit of this Agreement, including all warranties, guarantees and securities, in whole or in part to any lender, security agent or other financier of the project, to any purchaser of the BESS or of the project, or to any affiliate of the Buyer, and may novate this Agreement to a project company. The Seller shall execute any acknowledgement, consent, direct agreement or novation reasonably requested by such person within </w:t>
      </w:r>
      <w:r>
        <w:rPr>
          <w:rFonts w:asciiTheme="minorHAnsi" w:hAnsiTheme="minorHAnsi" w:cstheme="minorHAnsi"/>
          <w:szCs w:val="22"/>
          <w:highlight w:val="yellow"/>
        </w:rPr>
        <w:t>[twenty (20)]</w:t>
      </w:r>
      <w:r>
        <w:rPr>
          <w:rFonts w:asciiTheme="minorHAnsi" w:hAnsiTheme="minorHAnsi" w:cstheme="minorHAnsi"/>
          <w:szCs w:val="22"/>
        </w:rPr>
        <w:t xml:space="preserve"> Business Days of request and at no additional cost.</w:t>
      </w:r>
    </w:p>
    <w:p w14:paraId="311BED59" w14:textId="77777777" w:rsidR="009E333E" w:rsidRDefault="00000000">
      <w:pPr>
        <w:pStyle w:val="Heading1"/>
        <w:spacing w:after="120"/>
        <w:jc w:val="left"/>
        <w:rPr>
          <w:rFonts w:asciiTheme="minorHAnsi" w:hAnsiTheme="minorHAnsi" w:cstheme="minorHAnsi"/>
          <w:szCs w:val="22"/>
        </w:rPr>
      </w:pPr>
      <w:bookmarkStart w:id="15" w:name="_Toc242471404"/>
      <w:r>
        <w:rPr>
          <w:rFonts w:asciiTheme="minorHAnsi" w:hAnsiTheme="minorHAnsi" w:cstheme="minorHAnsi"/>
          <w:szCs w:val="22"/>
        </w:rPr>
        <w:t>14. Limitation of Liability, Indemnities and Insurance</w:t>
      </w:r>
      <w:bookmarkEnd w:id="15"/>
    </w:p>
    <w:p w14:paraId="176D4401" w14:textId="77777777" w:rsidR="009E333E" w:rsidRDefault="00000000">
      <w:pPr>
        <w:pStyle w:val="Heading2"/>
        <w:spacing w:before="200" w:after="80"/>
        <w:ind w:left="360"/>
        <w:rPr>
          <w:rFonts w:asciiTheme="minorHAnsi" w:hAnsiTheme="minorHAnsi" w:cstheme="minorHAnsi"/>
          <w:szCs w:val="22"/>
        </w:rPr>
      </w:pPr>
      <w:r>
        <w:rPr>
          <w:rFonts w:asciiTheme="minorHAnsi" w:hAnsiTheme="minorHAnsi" w:cstheme="minorHAnsi"/>
          <w:szCs w:val="22"/>
        </w:rPr>
        <w:t>14.1 Limitations of Liability</w:t>
      </w:r>
    </w:p>
    <w:p w14:paraId="55D69794"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14.1.1 Subject to Clause 14.1.3, the Seller’s total aggregate liability to the Buyer arising out of or in connection with this Agreement, whatever the legal basis of the claim (contract, negligence or other tort, statute or otherwise), is limited to an amount equal to </w:t>
      </w:r>
      <w:r>
        <w:rPr>
          <w:rFonts w:asciiTheme="minorHAnsi" w:hAnsiTheme="minorHAnsi" w:cstheme="minorHAnsi"/>
          <w:szCs w:val="22"/>
          <w:highlight w:val="yellow"/>
        </w:rPr>
        <w:t>[one hundred per cent (100%)]</w:t>
      </w:r>
      <w:r>
        <w:rPr>
          <w:rFonts w:asciiTheme="minorHAnsi" w:hAnsiTheme="minorHAnsi" w:cstheme="minorHAnsi"/>
          <w:szCs w:val="22"/>
        </w:rPr>
        <w:t xml:space="preserve"> of the Contract Price. The Seller’s cost of performing its own obligations, including the repair, replacement, augmentation and re-testing of the BESS, and any amount recovered from insurers, do not count towards this limit.</w:t>
      </w:r>
    </w:p>
    <w:p w14:paraId="2481F1F8" w14:textId="44DAC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14.1.2 Liquidated damages for delay, performance shortfall and availability shortfall are each subject to the separate sub-caps stated in Clause 5.5 and </w:t>
      </w:r>
      <w:r>
        <w:rPr>
          <w:rFonts w:asciiTheme="minorHAnsi" w:hAnsiTheme="minorHAnsi" w:cstheme="minorHAnsi"/>
          <w:szCs w:val="22"/>
          <w:highlight w:val="cyan"/>
        </w:rPr>
        <w:t>APPENDIX G</w:t>
      </w:r>
      <w:r>
        <w:rPr>
          <w:rFonts w:asciiTheme="minorHAnsi" w:hAnsiTheme="minorHAnsi" w:cstheme="minorHAnsi"/>
          <w:szCs w:val="22"/>
        </w:rPr>
        <w:t xml:space="preserve"> and count towards the aggregate limit in Clause 14.1.1. Aggregate liquidated damages shall not exceed </w:t>
      </w:r>
      <w:r>
        <w:rPr>
          <w:rFonts w:asciiTheme="minorHAnsi" w:hAnsiTheme="minorHAnsi" w:cstheme="minorHAnsi"/>
          <w:szCs w:val="22"/>
          <w:highlight w:val="yellow"/>
        </w:rPr>
        <w:t>[seventy per cent (70%)]</w:t>
      </w:r>
      <w:r>
        <w:rPr>
          <w:rFonts w:asciiTheme="minorHAnsi" w:hAnsiTheme="minorHAnsi" w:cstheme="minorHAnsi"/>
          <w:szCs w:val="22"/>
        </w:rPr>
        <w:t xml:space="preserve"> of that limit; the balance of the limit is available for other capped claims and is reduced by amounts paid or payable for those claims. Uncapped liabilities under Clause 14.1.3 are unaffected.</w:t>
      </w:r>
    </w:p>
    <w:p w14:paraId="282C6B78"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14.1.3 Nothing in this Agreement limits or excludes either Party’s liability for death or personal injury, fraud, wilful misconduct, gross negligence, breach of Clause 4.7 (Cybersecurity), Clause 4.15 (Compliance) or Clause 11 (Confidentiality), infringement of intellectual property, failure to maintain insurance, or any liability that cannot be limited by applicable law.</w:t>
      </w:r>
    </w:p>
    <w:p w14:paraId="4B23B329" w14:textId="1822EC96"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14.1.4 The Buyer’s total aggregate liability to the Seller, </w:t>
      </w:r>
      <w:r>
        <w:rPr>
          <w:rFonts w:asciiTheme="minorHAnsi" w:hAnsiTheme="minorHAnsi" w:cstheme="minorHAnsi"/>
          <w:szCs w:val="22"/>
        </w:rPr>
        <w:t xml:space="preserve">other than amounts properly payable as Contract Price under Clause 6.10 and the termination settlement expressly payable under Clause 8.5 </w:t>
      </w:r>
      <w:r>
        <w:rPr>
          <w:rFonts w:asciiTheme="minorHAnsi" w:hAnsiTheme="minorHAnsi" w:cstheme="minorHAnsi"/>
          <w:szCs w:val="22"/>
          <w:highlight w:val="yellow"/>
        </w:rPr>
        <w:t>[including / excluding the cancellation fee]</w:t>
      </w:r>
      <w:r>
        <w:rPr>
          <w:rFonts w:asciiTheme="minorHAnsi" w:hAnsiTheme="minorHAnsi" w:cstheme="minorHAnsi"/>
          <w:szCs w:val="22"/>
        </w:rPr>
        <w:t>,</w:t>
      </w:r>
      <w:r>
        <w:rPr>
          <w:rFonts w:asciiTheme="minorHAnsi" w:hAnsiTheme="minorHAnsi" w:cstheme="minorHAnsi"/>
          <w:szCs w:val="22"/>
        </w:rPr>
        <w:t xml:space="preserve"> shall not exceed </w:t>
      </w:r>
      <w:r>
        <w:rPr>
          <w:rFonts w:asciiTheme="minorHAnsi" w:hAnsiTheme="minorHAnsi" w:cstheme="minorHAnsi"/>
          <w:szCs w:val="22"/>
          <w:highlight w:val="yellow"/>
        </w:rPr>
        <w:t>[ten per cent (10%)]</w:t>
      </w:r>
      <w:r>
        <w:rPr>
          <w:rFonts w:asciiTheme="minorHAnsi" w:hAnsiTheme="minorHAnsi" w:cstheme="minorHAnsi"/>
          <w:szCs w:val="22"/>
        </w:rPr>
        <w:t xml:space="preserve"> of the Contract Price.</w:t>
      </w:r>
    </w:p>
    <w:p w14:paraId="339CFA32" w14:textId="0EDAED7E"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lastRenderedPageBreak/>
        <w:t>14.1.5 Subject to Clause 14.1.3, neither Party is liable</w:t>
      </w:r>
      <w:r>
        <w:rPr>
          <w:rFonts w:asciiTheme="minorHAnsi" w:hAnsiTheme="minorHAnsi" w:cstheme="minorHAnsi"/>
          <w:szCs w:val="22"/>
        </w:rPr>
        <w:t xml:space="preserve"> to the other for loss of profit, loss of revenue, loss of contract or indirect or consequential loss, save that the following are agreed to be direct losses recoverable by the Buyer: (a) liquidated damages; (b) the cost of replacement equipment, augmentation, re-testing and re-certification; (c) the cost of removal, storage, transport and reinstatement of BESS units; (d) amounts the Buyer is liable to pay to its grid operator, offtaker, lenders or construction contractor as a result of the Seller’s breach; (e) regulatory fines and the cost of complying with regulatory orders caused by the Seller’s breach; and (f) sums payable under any indemnity in this Agreement.</w:t>
      </w:r>
      <w:r>
        <w:rPr>
          <w:rFonts w:asciiTheme="minorHAnsi" w:hAnsiTheme="minorHAnsi" w:cstheme="minorHAnsi"/>
          <w:szCs w:val="22"/>
        </w:rPr>
        <w:t xml:space="preserve"> No amount may be recovered more than once for the same loss, whether claimed as liquidated damages, a price adjustment, damages or an indemnity.</w:t>
      </w:r>
    </w:p>
    <w:p w14:paraId="283722E3" w14:textId="77777777" w:rsidR="009E333E" w:rsidRDefault="00000000">
      <w:pPr>
        <w:pStyle w:val="Heading2"/>
        <w:spacing w:before="200" w:after="80"/>
        <w:ind w:left="360"/>
        <w:rPr>
          <w:rFonts w:asciiTheme="minorHAnsi" w:hAnsiTheme="minorHAnsi" w:cstheme="minorHAnsi"/>
          <w:szCs w:val="22"/>
        </w:rPr>
      </w:pPr>
      <w:r>
        <w:rPr>
          <w:rFonts w:asciiTheme="minorHAnsi" w:hAnsiTheme="minorHAnsi" w:cstheme="minorHAnsi"/>
          <w:szCs w:val="22"/>
        </w:rPr>
        <w:t>14.2 Indemnification Procedure</w:t>
      </w:r>
    </w:p>
    <w:p w14:paraId="66422652" w14:textId="7FD5BAAF"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14.2.1 The intellectual property warranty, indemnity and remedies are set out in Clause 4.6. The procedure in this Clause applies to every indemnity in this Agreement. </w:t>
      </w:r>
      <w:r>
        <w:rPr>
          <w:rFonts w:asciiTheme="minorHAnsi" w:hAnsiTheme="minorHAnsi" w:cstheme="minorHAnsi"/>
          <w:szCs w:val="22"/>
        </w:rPr>
        <w:t>If a person expressly entitled to indemnification under the provision giving rise to the claim (the “Indemnified Party”) determines to seek indemnification hereunder</w:t>
      </w:r>
      <w:r>
        <w:rPr>
          <w:rFonts w:asciiTheme="minorHAnsi" w:hAnsiTheme="minorHAnsi" w:cstheme="minorHAnsi"/>
          <w:szCs w:val="22"/>
        </w:rPr>
        <w:t xml:space="preserve"> with respect to any claim for which an indemnity is given under this Agreement (a “Claim”), it shall give notice to the Seller (the “Indemnifying Party”) within a reasonable time of the Indemnified Party’s receipt of written notice of the Claim. The notice shall set forth such information as is then reasonably available to the Indemnified Party. The rights of the Indemnified Party to be indemnified are not forfeited by a failure to give notice unless the Indemnifying Party is significantly prejudiced by that failure.</w:t>
      </w:r>
      <w:r>
        <w:rPr>
          <w:rFonts w:asciiTheme="minorHAnsi" w:hAnsiTheme="minorHAnsi" w:cstheme="minorHAnsi"/>
          <w:szCs w:val="22"/>
        </w:rPr>
        <w:t xml:space="preserve"> Clauses 14.2.2 and 14.2.3 apply to third-party claims only; a claim for the Indemnified Party’s own loss or cost shall be supported by reasonable particulars and is payable within thirty (30) days after agreement or determination of the amount.</w:t>
      </w:r>
    </w:p>
    <w:p w14:paraId="12C4F90D"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14.2.2 After receiving notice of any Claim, the Indemnifying Party has the obligation and the right to assume the defence of the Claim and of the Indemnified Party, bearing all fees and costs of that defence. Where the Indemnifying Party assumes the defence and retains legal counsel for the Indemnified Party, the Indemnified Party shall, to the extent consistent with its interests, reasonably cooperate with the Indemnifying Party and its counsel. Independently of the counsel chosen and paid for by the Indemnifying Party, the Indemnified Party may employ separate and additional counsel of its choosing at its own expense.</w:t>
      </w:r>
      <w:r>
        <w:rPr>
          <w:rFonts w:asciiTheme="minorHAnsi" w:hAnsiTheme="minorHAnsi" w:cstheme="minorHAnsi"/>
          <w:szCs w:val="22"/>
        </w:rPr>
        <w:t xml:space="preserve"> The Indemnifying Party may not settle a Claim involving an admission, a non-monetary obligation or an unreleased liability of an Indemnified Party without that person’s prior written consent.</w:t>
      </w:r>
    </w:p>
    <w:p w14:paraId="2993125C"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14.2.3 The Indemnified Party shall not, without the Indemnifying Party’s written consent (not to be unreasonably withheld), settle or compromise any Claim or consent to entry of any judgment related to it where the settlement, compromise or consent adversely affects the Indemnifying Party.</w:t>
      </w:r>
    </w:p>
    <w:p w14:paraId="0A341477" w14:textId="77777777" w:rsidR="009E333E" w:rsidRDefault="00000000">
      <w:pPr>
        <w:pStyle w:val="Heading2"/>
        <w:spacing w:before="200" w:after="80"/>
        <w:ind w:left="360"/>
        <w:rPr>
          <w:rFonts w:asciiTheme="minorHAnsi" w:hAnsiTheme="minorHAnsi" w:cstheme="minorHAnsi"/>
          <w:szCs w:val="22"/>
        </w:rPr>
      </w:pPr>
      <w:r>
        <w:rPr>
          <w:rFonts w:asciiTheme="minorHAnsi" w:hAnsiTheme="minorHAnsi" w:cstheme="minorHAnsi"/>
          <w:szCs w:val="22"/>
        </w:rPr>
        <w:t>14.3 General Indemnities</w:t>
      </w:r>
    </w:p>
    <w:p w14:paraId="0B01BFD2" w14:textId="4567C974"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The Seller shall indemnify and hold harmless the Buyer, its affiliates, financiers, contractors and personnel against all claims, losses, damages, fines, costs and expenses (including reasonable legal fees) arising from (a) death, injury or illness of any person, </w:t>
      </w:r>
      <w:r>
        <w:rPr>
          <w:rFonts w:asciiTheme="minorHAnsi" w:hAnsiTheme="minorHAnsi" w:cstheme="minorHAnsi"/>
          <w:szCs w:val="22"/>
        </w:rPr>
        <w:t>(b) loss of or damage to property other than the BESS, whether occurring before or after Delivery (loss of or damage to the BESS itself being addressed by the risk, warranty and Defect provisions),</w:t>
      </w:r>
      <w:r>
        <w:rPr>
          <w:rFonts w:asciiTheme="minorHAnsi" w:hAnsiTheme="minorHAnsi" w:cstheme="minorHAnsi"/>
          <w:szCs w:val="22"/>
        </w:rPr>
        <w:t xml:space="preserve"> (c) fire, pollution, contamination or release of hazardous substances, and (d) breach of applicable law, in each case to the extent caused by the BESS, its Software or the acts or omissions of the Seller, its subcontractors or personnel, except to the extent caused by the negligence of the Buyer.</w:t>
      </w:r>
    </w:p>
    <w:p w14:paraId="5D28A3AB" w14:textId="77777777" w:rsidR="009E333E" w:rsidRDefault="00000000">
      <w:pPr>
        <w:pStyle w:val="Heading2"/>
        <w:spacing w:before="200" w:after="80"/>
        <w:ind w:left="360"/>
        <w:rPr>
          <w:rFonts w:asciiTheme="minorHAnsi" w:hAnsiTheme="minorHAnsi" w:cstheme="minorHAnsi"/>
          <w:szCs w:val="22"/>
        </w:rPr>
      </w:pPr>
      <w:r>
        <w:rPr>
          <w:rFonts w:asciiTheme="minorHAnsi" w:hAnsiTheme="minorHAnsi" w:cstheme="minorHAnsi"/>
          <w:szCs w:val="22"/>
        </w:rPr>
        <w:lastRenderedPageBreak/>
        <w:t>14.4 Insurance</w:t>
      </w:r>
    </w:p>
    <w:p w14:paraId="7B1BC2CA" w14:textId="5A93FD44"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14.4.1 The Seller shall maintain, with insurers rated at least </w:t>
      </w:r>
      <w:r>
        <w:rPr>
          <w:rFonts w:asciiTheme="minorHAnsi" w:hAnsiTheme="minorHAnsi" w:cstheme="minorHAnsi"/>
          <w:szCs w:val="22"/>
          <w:highlight w:val="yellow"/>
        </w:rPr>
        <w:t>[A-]</w:t>
      </w:r>
      <w:r>
        <w:rPr>
          <w:rFonts w:asciiTheme="minorHAnsi" w:hAnsiTheme="minorHAnsi" w:cstheme="minorHAnsi"/>
          <w:szCs w:val="22"/>
        </w:rPr>
        <w:t xml:space="preserve"> or equivalent, for the periods stated: (a) for each insured transit, including warranty return and replacement shipments at the Seller’s risk, marine cargo and transit insurance covering the BESS for the greater of 110% of the CIF value </w:t>
      </w:r>
      <w:r w:rsidRPr="002A6A0F">
        <w:rPr>
          <w:rFonts w:asciiTheme="minorHAnsi" w:hAnsiTheme="minorHAnsi" w:cstheme="minorHAnsi"/>
          <w:szCs w:val="22"/>
          <w:highlight w:val="yellow"/>
        </w:rPr>
        <w:t>(where CIF is selected)</w:t>
      </w:r>
      <w:r>
        <w:rPr>
          <w:rFonts w:asciiTheme="minorHAnsi" w:hAnsiTheme="minorHAnsi" w:cstheme="minorHAnsi"/>
          <w:szCs w:val="22"/>
        </w:rPr>
        <w:t xml:space="preserve"> and the full replacement value including freight and duties, from the factory to completion of unloading at the Site, with the Buyer named as insured and loss payee; (b) from the Effective Date until the end of the Warranty Period,</w:t>
      </w:r>
      <w:r>
        <w:rPr>
          <w:rFonts w:asciiTheme="minorHAnsi" w:hAnsiTheme="minorHAnsi" w:cstheme="minorHAnsi"/>
          <w:szCs w:val="22"/>
        </w:rPr>
        <w:t xml:space="preserve"> product liability and general third-party liability insurance of not less than </w:t>
      </w:r>
      <w:r>
        <w:rPr>
          <w:rFonts w:asciiTheme="minorHAnsi" w:hAnsiTheme="minorHAnsi" w:cstheme="minorHAnsi"/>
          <w:szCs w:val="22"/>
          <w:highlight w:val="yellow"/>
        </w:rPr>
        <w:t>[EUR 10,000,000]</w:t>
      </w:r>
      <w:r>
        <w:rPr>
          <w:rFonts w:asciiTheme="minorHAnsi" w:hAnsiTheme="minorHAnsi" w:cstheme="minorHAnsi"/>
          <w:szCs w:val="22"/>
        </w:rPr>
        <w:t xml:space="preserve"> per occurrence, extending to fire, thermal runaway and sudden and accidental pollution; </w:t>
      </w:r>
      <w:r>
        <w:rPr>
          <w:rFonts w:asciiTheme="minorHAnsi" w:hAnsiTheme="minorHAnsi" w:cstheme="minorHAnsi"/>
          <w:szCs w:val="22"/>
        </w:rPr>
        <w:t xml:space="preserve">(c) for that period and an agreed </w:t>
      </w:r>
      <w:r>
        <w:rPr>
          <w:rFonts w:asciiTheme="minorHAnsi" w:hAnsiTheme="minorHAnsi" w:cstheme="minorHAnsi"/>
          <w:szCs w:val="22"/>
          <w:highlight w:val="yellow"/>
        </w:rPr>
        <w:t>[●]</w:t>
      </w:r>
      <w:r>
        <w:rPr>
          <w:rFonts w:asciiTheme="minorHAnsi" w:hAnsiTheme="minorHAnsi" w:cstheme="minorHAnsi"/>
          <w:szCs w:val="22"/>
        </w:rPr>
        <w:t xml:space="preserve">-year run-off for claims-made cover, professional indemnity insurance covering design and Software of not less than </w:t>
      </w:r>
      <w:r>
        <w:rPr>
          <w:rFonts w:asciiTheme="minorHAnsi" w:hAnsiTheme="minorHAnsi" w:cstheme="minorHAnsi"/>
          <w:szCs w:val="22"/>
          <w:highlight w:val="yellow"/>
        </w:rPr>
        <w:t>[EUR 5,000,000]</w:t>
      </w:r>
      <w:r>
        <w:rPr>
          <w:rFonts w:asciiTheme="minorHAnsi" w:hAnsiTheme="minorHAnsi" w:cstheme="minorHAnsi"/>
          <w:szCs w:val="22"/>
        </w:rPr>
        <w:t xml:space="preserve">; (d) for the same period and run-off, cyber liability insurance of not less than </w:t>
      </w:r>
      <w:r>
        <w:rPr>
          <w:rFonts w:asciiTheme="minorHAnsi" w:hAnsiTheme="minorHAnsi" w:cstheme="minorHAnsi"/>
          <w:szCs w:val="22"/>
          <w:highlight w:val="yellow"/>
        </w:rPr>
        <w:t>[EUR 5,000,000]</w:t>
      </w:r>
      <w:r>
        <w:rPr>
          <w:rFonts w:asciiTheme="minorHAnsi" w:hAnsiTheme="minorHAnsi" w:cstheme="minorHAnsi"/>
          <w:szCs w:val="22"/>
        </w:rPr>
        <w:t>; and (e) throughout the relevant employment and Site activities, employer’s liability</w:t>
      </w:r>
      <w:r>
        <w:rPr>
          <w:rFonts w:asciiTheme="minorHAnsi" w:hAnsiTheme="minorHAnsi" w:cstheme="minorHAnsi"/>
          <w:szCs w:val="22"/>
        </w:rPr>
        <w:t xml:space="preserve"> and all insurance required by law for Seller personnel at the Site.</w:t>
      </w:r>
    </w:p>
    <w:p w14:paraId="730CC042"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14.4.2 The Seller shall deliver certificates, and on request policy copies, before the start of production and within thirty (30) days of each renewal. Policies (b) to (d) shall note the Buyer’s interest and waive subrogation against the Buyer. If the Seller fails to maintain any insurance the Buyer may procure it and deduct the premium from sums due. Insurance does not limit the Seller’s liability; deductibles and uninsured losses are borne by the Seller.</w:t>
      </w:r>
    </w:p>
    <w:p w14:paraId="4B388E00" w14:textId="77777777" w:rsidR="009E333E" w:rsidRDefault="00000000">
      <w:pPr>
        <w:pStyle w:val="Heading1"/>
        <w:spacing w:after="120"/>
        <w:jc w:val="left"/>
        <w:rPr>
          <w:rFonts w:asciiTheme="minorHAnsi" w:hAnsiTheme="minorHAnsi" w:cstheme="minorHAnsi"/>
          <w:szCs w:val="22"/>
        </w:rPr>
      </w:pPr>
      <w:bookmarkStart w:id="16" w:name="_Toc242471405"/>
      <w:r>
        <w:rPr>
          <w:rFonts w:asciiTheme="minorHAnsi" w:hAnsiTheme="minorHAnsi" w:cstheme="minorHAnsi"/>
          <w:szCs w:val="22"/>
        </w:rPr>
        <w:t>15. Dispute Resolution</w:t>
      </w:r>
      <w:bookmarkEnd w:id="16"/>
    </w:p>
    <w:p w14:paraId="53AC70BD" w14:textId="430116A4"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15.1 Any Dispute shall first be referred by written notice to a senior executive of each Party, who shall meet within ten (10) Business Days. If the Dispute is not resolved within twenty (20) Business Days of the notice, </w:t>
      </w:r>
      <w:r>
        <w:rPr>
          <w:rFonts w:asciiTheme="minorHAnsi" w:hAnsiTheme="minorHAnsi" w:cstheme="minorHAnsi"/>
          <w:szCs w:val="22"/>
        </w:rPr>
        <w:t>technical questions within Clause 15.2 shall proceed under that Clause and other Disputes under Clause 15.3. Nothing in this Clause prevents either Party from seeking urgent interim or conservatory relief from a competent court or an emergency arbitrator.</w:t>
      </w:r>
    </w:p>
    <w:p w14:paraId="196DDB3A"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15.2 A Dispute concerning a test procedure, the validity or quality of data, a measurement boundary, a correction method, or the calculation of Useable Capacity, power, efficiency, degradation, Availability or any other technical measurement shall be submitted to a single independent technical expert chosen jointly by the Parties or, if they cannot agree on the person within ten (10) Business Days, nominated by </w:t>
      </w:r>
      <w:r>
        <w:rPr>
          <w:rFonts w:asciiTheme="minorHAnsi" w:hAnsiTheme="minorHAnsi" w:cstheme="minorHAnsi"/>
          <w:szCs w:val="22"/>
          <w:highlight w:val="yellow"/>
        </w:rPr>
        <w:t>[the ICC International Centre for ADR]</w:t>
      </w:r>
      <w:r>
        <w:rPr>
          <w:rFonts w:asciiTheme="minorHAnsi" w:hAnsiTheme="minorHAnsi" w:cstheme="minorHAnsi"/>
          <w:szCs w:val="22"/>
        </w:rPr>
        <w:t>. The expert acts as an expert and not as an arbitrator, may require raw data, test records and site access, and shall give a reasoned written determination within twenty (20) Business Days of appointment. The determination is final and binding on the technical question save for manifest error or fraud, and any arbitral tribunal shall give effect to it. The expert’s fees shall be borne as the expert directs.</w:t>
      </w:r>
      <w:r>
        <w:rPr>
          <w:rFonts w:asciiTheme="minorHAnsi" w:hAnsiTheme="minorHAnsi" w:cstheme="minorHAnsi"/>
          <w:szCs w:val="22"/>
        </w:rPr>
        <w:t xml:space="preserve"> A Dispute as to whether a question falls within this Clause, or as to manifest error or fraud in the determination, is resolved under Clause 15.3.</w:t>
      </w:r>
    </w:p>
    <w:p w14:paraId="26800E5F"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15.3 Any other Dispute, including any question of law or of the consequences of an expert determination, shall be finally resolved by arbitration under the Rules of Arbitration of the International Chamber of Commerce (ICC) by </w:t>
      </w:r>
      <w:r>
        <w:rPr>
          <w:rFonts w:asciiTheme="minorHAnsi" w:hAnsiTheme="minorHAnsi" w:cstheme="minorHAnsi"/>
          <w:szCs w:val="22"/>
          <w:highlight w:val="yellow"/>
        </w:rPr>
        <w:t>[three]</w:t>
      </w:r>
      <w:r>
        <w:rPr>
          <w:rFonts w:asciiTheme="minorHAnsi" w:hAnsiTheme="minorHAnsi" w:cstheme="minorHAnsi"/>
          <w:szCs w:val="22"/>
        </w:rPr>
        <w:t xml:space="preserve"> arbitrators. The seat of arbitration shall be </w:t>
      </w:r>
      <w:r>
        <w:rPr>
          <w:rFonts w:asciiTheme="minorHAnsi" w:hAnsiTheme="minorHAnsi" w:cstheme="minorHAnsi"/>
          <w:szCs w:val="22"/>
          <w:highlight w:val="yellow"/>
        </w:rPr>
        <w:t>[Singapore]</w:t>
      </w:r>
      <w:r>
        <w:rPr>
          <w:rFonts w:asciiTheme="minorHAnsi" w:hAnsiTheme="minorHAnsi" w:cstheme="minorHAnsi"/>
          <w:szCs w:val="22"/>
        </w:rPr>
        <w:t>. The arbitration shall be conducted in English. The emergency arbitrator provisions apply. The award shall be final and binding on the Parties, who waive any right of appeal to the extent permitted by law. The costs of arbitration shall be allocated by the arbitral tribunal.</w:t>
      </w:r>
    </w:p>
    <w:p w14:paraId="19B4253C"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15.4 The Parties shall continue to perform all obligations not in dispute, and the Seller shall continue to deliver, support and remedy Defects, while any Dispute is pending. The Buyer may </w:t>
      </w:r>
      <w:r>
        <w:rPr>
          <w:rFonts w:asciiTheme="minorHAnsi" w:hAnsiTheme="minorHAnsi" w:cstheme="minorHAnsi"/>
          <w:szCs w:val="22"/>
        </w:rPr>
        <w:lastRenderedPageBreak/>
        <w:t>withhold disputed sums pending resolution.</w:t>
      </w:r>
      <w:r>
        <w:rPr>
          <w:rFonts w:asciiTheme="minorHAnsi" w:hAnsiTheme="minorHAnsi" w:cstheme="minorHAnsi"/>
          <w:szCs w:val="22"/>
        </w:rPr>
        <w:t xml:space="preserve"> This Clause is subject to the Seller’s limited shipment-suspension right under Clause 8.3 and does not require unsafe or unlawful performance.</w:t>
      </w:r>
    </w:p>
    <w:p w14:paraId="2F0536A8" w14:textId="77777777" w:rsidR="009E333E" w:rsidRDefault="00000000">
      <w:pPr>
        <w:pStyle w:val="Heading1"/>
        <w:spacing w:after="120"/>
        <w:jc w:val="left"/>
        <w:rPr>
          <w:rFonts w:asciiTheme="minorHAnsi" w:hAnsiTheme="minorHAnsi" w:cstheme="minorHAnsi"/>
          <w:szCs w:val="22"/>
        </w:rPr>
      </w:pPr>
      <w:bookmarkStart w:id="17" w:name="_Toc242471406"/>
      <w:r>
        <w:rPr>
          <w:rFonts w:asciiTheme="minorHAnsi" w:hAnsiTheme="minorHAnsi" w:cstheme="minorHAnsi"/>
          <w:szCs w:val="22"/>
        </w:rPr>
        <w:t>16. Effectiveness and Notice to Proceed</w:t>
      </w:r>
      <w:bookmarkEnd w:id="17"/>
    </w:p>
    <w:p w14:paraId="760E85EC" w14:textId="785C5E53"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16.1 This Agreement is binding on signature by both Parties, but the Seller shall not start procurement of Key Components or manufacture, and no payment shall fall due, until the Buyer issues a written Notice to Proceed to Manufacture, which the Buyer shall issue once (a) </w:t>
      </w:r>
      <w:r>
        <w:rPr>
          <w:rFonts w:asciiTheme="minorHAnsi" w:hAnsiTheme="minorHAnsi" w:cstheme="minorHAnsi"/>
          <w:szCs w:val="22"/>
          <w:highlight w:val="cyan"/>
        </w:rPr>
        <w:t>APPENDICES B to E</w:t>
      </w:r>
      <w:r>
        <w:rPr>
          <w:rFonts w:asciiTheme="minorHAnsi" w:hAnsiTheme="minorHAnsi" w:cstheme="minorHAnsi"/>
          <w:szCs w:val="22"/>
        </w:rPr>
        <w:t xml:space="preserve">, the BOM and the Critical Component List have been agreed and initialled, (b) the Advance Payment Guarantee, the performance guarantee and, where applicable, the Parent Company Guarantee have been delivered, (c) evidence of the Seller’s insurances has been delivered, (d) the Required Inputs under </w:t>
      </w:r>
      <w:r>
        <w:rPr>
          <w:rFonts w:asciiTheme="minorHAnsi" w:hAnsiTheme="minorHAnsi" w:cstheme="minorHAnsi"/>
          <w:szCs w:val="22"/>
          <w:highlight w:val="cyan"/>
        </w:rPr>
        <w:t>APPENDIX M</w:t>
      </w:r>
      <w:r>
        <w:rPr>
          <w:rFonts w:asciiTheme="minorHAnsi" w:hAnsiTheme="minorHAnsi" w:cstheme="minorHAnsi"/>
          <w:szCs w:val="22"/>
        </w:rPr>
        <w:t xml:space="preserve"> (including the sample raw data, data dictionary and document templates) have been received and accepted by the Selected Third-Party, </w:t>
      </w:r>
      <w:r>
        <w:rPr>
          <w:rFonts w:asciiTheme="minorHAnsi" w:hAnsiTheme="minorHAnsi" w:cstheme="minorHAnsi"/>
          <w:szCs w:val="22"/>
        </w:rPr>
        <w:t xml:space="preserve">(e) the Seller’s detailed manufacturing and delivery programme has been submitted, (f) the pre-manufacture design deliverables have received a no-objection under Clause 4.9, (g) the product safety case and the applicable certification evidence have been delivered under Clauses 4.8 and 4.13.3 and reviewed, and (h) the Inspection and Test Plan, the FAT and SAT pass and fail criteria and the laboratory test protocol of </w:t>
      </w:r>
      <w:r>
        <w:rPr>
          <w:rFonts w:asciiTheme="minorHAnsi" w:hAnsiTheme="minorHAnsi" w:cstheme="minorHAnsi"/>
          <w:szCs w:val="22"/>
          <w:highlight w:val="cyan"/>
        </w:rPr>
        <w:t>APPENDIX O</w:t>
      </w:r>
      <w:r>
        <w:rPr>
          <w:rFonts w:asciiTheme="minorHAnsi" w:hAnsiTheme="minorHAnsi" w:cstheme="minorHAnsi"/>
          <w:szCs w:val="22"/>
        </w:rPr>
        <w:t xml:space="preserve"> have been agreed. Issue of the Notice to Proceed to Manufacture, or waiver of any of its conditions, does not waive any mandatory legal or safety requirement.</w:t>
      </w:r>
    </w:p>
    <w:p w14:paraId="2634A619"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16.2 If the conditions in Clause 16.1 are not satisfied or waived within </w:t>
      </w:r>
      <w:r>
        <w:rPr>
          <w:rFonts w:asciiTheme="minorHAnsi" w:hAnsiTheme="minorHAnsi" w:cstheme="minorHAnsi"/>
          <w:szCs w:val="22"/>
          <w:highlight w:val="yellow"/>
        </w:rPr>
        <w:t>[sixty (60)]</w:t>
      </w:r>
      <w:r>
        <w:rPr>
          <w:rFonts w:asciiTheme="minorHAnsi" w:hAnsiTheme="minorHAnsi" w:cstheme="minorHAnsi"/>
          <w:szCs w:val="22"/>
        </w:rPr>
        <w:t xml:space="preserve"> days of signature, the Buyer may terminate this Agreement without liability and any security delivered shall be returned.</w:t>
      </w:r>
    </w:p>
    <w:p w14:paraId="4CD4CE32" w14:textId="77777777" w:rsidR="009E333E" w:rsidRDefault="00000000">
      <w:pPr>
        <w:pStyle w:val="Heading1"/>
        <w:spacing w:after="120"/>
        <w:jc w:val="left"/>
        <w:rPr>
          <w:rFonts w:asciiTheme="minorHAnsi" w:hAnsiTheme="minorHAnsi" w:cstheme="minorHAnsi"/>
          <w:szCs w:val="22"/>
        </w:rPr>
      </w:pPr>
      <w:bookmarkStart w:id="18" w:name="_Toc242471407"/>
      <w:r>
        <w:rPr>
          <w:rFonts w:asciiTheme="minorHAnsi" w:hAnsiTheme="minorHAnsi" w:cstheme="minorHAnsi"/>
          <w:szCs w:val="22"/>
        </w:rPr>
        <w:t>17. Notices</w:t>
      </w:r>
      <w:bookmarkEnd w:id="18"/>
    </w:p>
    <w:p w14:paraId="1AF72816" w14:textId="2240B97A"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All notices and demands under this Agreement shall be in writing and may be delivered personally or by e-mail or mail to the addresses written below or such other addresses, including e-mail addresses, as may from time to time be exchanged in writing between the Parties. A notice is effective: if delivered by hand or courier, on delivery; </w:t>
      </w:r>
      <w:r>
        <w:rPr>
          <w:rFonts w:asciiTheme="minorHAnsi" w:hAnsiTheme="minorHAnsi" w:cstheme="minorHAnsi"/>
          <w:szCs w:val="22"/>
        </w:rPr>
        <w:t>if sent by e-mail, when sent, provided no delivery failure message is received, if sent on a Business Day between 09:00 and 16:30 at the recipient’s address, and otherwise at 09:00 on the next Business Day;</w:t>
      </w:r>
      <w:r>
        <w:rPr>
          <w:rFonts w:asciiTheme="minorHAnsi" w:hAnsiTheme="minorHAnsi" w:cstheme="minorHAnsi"/>
          <w:szCs w:val="22"/>
        </w:rPr>
        <w:t xml:space="preserve"> if sent by registered post, on the third Business Day after posting. Notices of breach, claims under Clause 7.4, termination notices and Dispute notices </w:t>
      </w:r>
      <w:r>
        <w:rPr>
          <w:rFonts w:asciiTheme="minorHAnsi" w:hAnsiTheme="minorHAnsi" w:cstheme="minorHAnsi"/>
          <w:szCs w:val="22"/>
        </w:rPr>
        <w:t>shall in addition be sent by courier or registered post; the supplementary copy does not defer the effective time of an otherwise valid e-mail notice.</w:t>
      </w:r>
      <w:r>
        <w:rPr>
          <w:rFonts w:asciiTheme="minorHAnsi" w:hAnsiTheme="minorHAnsi" w:cstheme="minorHAnsi"/>
          <w:szCs w:val="22"/>
        </w:rPr>
        <w:t xml:space="preserve"> Either Party may change its contact person or support e-mail address by notifying the other Party in writing. </w:t>
      </w:r>
      <w:r>
        <w:rPr>
          <w:rFonts w:asciiTheme="minorHAnsi" w:hAnsiTheme="minorHAnsi" w:cstheme="minorHAnsi"/>
          <w:szCs w:val="22"/>
        </w:rPr>
        <w:t>Electronic records of communications between the Parties may be relied on as evidence, subject to applicable procedural law.</w:t>
      </w:r>
    </w:p>
    <w:tbl>
      <w:tblPr>
        <w:tblW w:w="8856"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ayout w:type="fixed"/>
        <w:tblLook w:val="01E0" w:firstRow="1" w:lastRow="1" w:firstColumn="1" w:lastColumn="1" w:noHBand="0" w:noVBand="0"/>
      </w:tblPr>
      <w:tblGrid>
        <w:gridCol w:w="1098"/>
        <w:gridCol w:w="3870"/>
        <w:gridCol w:w="3888"/>
      </w:tblGrid>
      <w:tr w:rsidR="008352EB" w:rsidRPr="006F38E6" w14:paraId="64A0CE5D" w14:textId="77777777" w:rsidTr="00BA61BE">
        <w:tc>
          <w:tcPr>
            <w:tcW w:w="1098" w:type="dxa"/>
            <w:shd w:val="clear" w:color="auto" w:fill="E0E0E0"/>
          </w:tcPr>
          <w:p w14:paraId="16C99841" w14:textId="77777777" w:rsidR="00156839" w:rsidRPr="006F38E6" w:rsidRDefault="00156839" w:rsidP="009C2B8D">
            <w:pPr>
              <w:pStyle w:val="BodyText"/>
              <w:rPr>
                <w:rFonts w:asciiTheme="minorHAnsi" w:hAnsiTheme="minorHAnsi" w:cstheme="minorHAnsi"/>
                <w:bCs/>
                <w:sz w:val="22"/>
                <w:szCs w:val="22"/>
                <w:lang w:eastAsia="zh-CN"/>
              </w:rPr>
            </w:pPr>
          </w:p>
        </w:tc>
        <w:tc>
          <w:tcPr>
            <w:tcW w:w="3870" w:type="dxa"/>
            <w:shd w:val="clear" w:color="auto" w:fill="E0E0E0"/>
          </w:tcPr>
          <w:p w14:paraId="4EE2BB4C" w14:textId="77777777" w:rsidR="00156839" w:rsidRPr="006F38E6" w:rsidRDefault="00C05376" w:rsidP="009C2B8D">
            <w:pPr>
              <w:pStyle w:val="BodyText"/>
              <w:rPr>
                <w:rFonts w:asciiTheme="minorHAnsi" w:hAnsiTheme="minorHAnsi" w:cstheme="minorHAnsi"/>
                <w:bCs/>
                <w:sz w:val="22"/>
                <w:szCs w:val="22"/>
                <w:lang w:eastAsia="zh-CN"/>
              </w:rPr>
            </w:pPr>
            <w:r>
              <w:rPr>
                <w:rFonts w:asciiTheme="minorHAnsi" w:hAnsiTheme="minorHAnsi" w:cstheme="minorHAnsi"/>
                <w:bCs/>
                <w:sz w:val="22"/>
                <w:szCs w:val="22"/>
                <w:lang w:eastAsia="zh-CN"/>
              </w:rPr>
              <w:t>Seller</w:t>
            </w:r>
          </w:p>
        </w:tc>
        <w:tc>
          <w:tcPr>
            <w:tcW w:w="3888" w:type="dxa"/>
            <w:shd w:val="clear" w:color="auto" w:fill="E0E0E0"/>
          </w:tcPr>
          <w:p w14:paraId="6B382999" w14:textId="77777777" w:rsidR="00156839" w:rsidRPr="006F38E6" w:rsidRDefault="00156839" w:rsidP="009C2B8D">
            <w:pPr>
              <w:pStyle w:val="BodyText"/>
              <w:rPr>
                <w:rFonts w:asciiTheme="minorHAnsi" w:hAnsiTheme="minorHAnsi" w:cstheme="minorHAnsi"/>
                <w:bCs/>
                <w:sz w:val="22"/>
                <w:szCs w:val="22"/>
                <w:lang w:eastAsia="zh-CN"/>
              </w:rPr>
            </w:pPr>
            <w:r>
              <w:rPr>
                <w:rFonts w:asciiTheme="minorHAnsi" w:hAnsiTheme="minorHAnsi" w:cstheme="minorHAnsi"/>
                <w:bCs/>
                <w:sz w:val="22"/>
                <w:szCs w:val="22"/>
                <w:lang w:eastAsia="zh-CN"/>
              </w:rPr>
              <w:t xml:space="preserve">Buyer </w:t>
            </w:r>
          </w:p>
        </w:tc>
      </w:tr>
      <w:tr w:rsidR="008352EB" w:rsidRPr="006F38E6" w14:paraId="0510A46F" w14:textId="77777777" w:rsidTr="00BA61BE">
        <w:tc>
          <w:tcPr>
            <w:tcW w:w="1098" w:type="dxa"/>
            <w:shd w:val="clear" w:color="auto" w:fill="E0E0E0"/>
          </w:tcPr>
          <w:p w14:paraId="0819A253" w14:textId="77777777" w:rsidR="00156839" w:rsidRPr="006F38E6" w:rsidRDefault="00156839" w:rsidP="009C2B8D">
            <w:pPr>
              <w:pStyle w:val="BodyText"/>
              <w:rPr>
                <w:rFonts w:asciiTheme="minorHAnsi" w:hAnsiTheme="minorHAnsi" w:cstheme="minorHAnsi"/>
                <w:sz w:val="22"/>
                <w:szCs w:val="22"/>
                <w:lang w:eastAsia="zh-CN"/>
              </w:rPr>
            </w:pPr>
          </w:p>
          <w:p w14:paraId="5A750A24" w14:textId="77777777" w:rsidR="00156839" w:rsidRPr="006F38E6" w:rsidRDefault="00156839" w:rsidP="009C2B8D">
            <w:pPr>
              <w:pStyle w:val="BodyText"/>
              <w:rPr>
                <w:rFonts w:asciiTheme="minorHAnsi" w:hAnsiTheme="minorHAnsi" w:cstheme="minorHAnsi"/>
                <w:sz w:val="22"/>
                <w:szCs w:val="22"/>
                <w:lang w:eastAsia="zh-CN"/>
              </w:rPr>
            </w:pPr>
            <w:r>
              <w:rPr>
                <w:rFonts w:asciiTheme="minorHAnsi" w:hAnsiTheme="minorHAnsi" w:cstheme="minorHAnsi"/>
                <w:sz w:val="22"/>
                <w:szCs w:val="22"/>
                <w:lang w:eastAsia="zh-CN"/>
              </w:rPr>
              <w:t xml:space="preserve">Name </w:t>
            </w:r>
          </w:p>
        </w:tc>
        <w:tc>
          <w:tcPr>
            <w:tcW w:w="3870" w:type="dxa"/>
            <w:shd w:val="clear" w:color="auto" w:fill="E0E0E0"/>
          </w:tcPr>
          <w:p w14:paraId="5712E590" w14:textId="77777777" w:rsidR="00156839" w:rsidRPr="006F38E6" w:rsidRDefault="00156839" w:rsidP="009C2B8D">
            <w:pPr>
              <w:pStyle w:val="BodyText"/>
              <w:rPr>
                <w:rFonts w:asciiTheme="minorHAnsi" w:hAnsiTheme="minorHAnsi" w:cstheme="minorHAnsi"/>
                <w:sz w:val="22"/>
                <w:szCs w:val="22"/>
                <w:lang w:eastAsia="zh-CN"/>
              </w:rPr>
            </w:pPr>
          </w:p>
          <w:p w14:paraId="0AFDA107" w14:textId="77777777" w:rsidR="00156839" w:rsidRPr="006F38E6" w:rsidRDefault="00156839" w:rsidP="009C2B8D">
            <w:pPr>
              <w:pStyle w:val="BodyText"/>
              <w:rPr>
                <w:rFonts w:asciiTheme="minorHAnsi" w:hAnsiTheme="minorHAnsi" w:cstheme="minorHAnsi"/>
                <w:sz w:val="22"/>
                <w:szCs w:val="22"/>
                <w:lang w:eastAsia="zh-CN"/>
              </w:rPr>
            </w:pPr>
          </w:p>
        </w:tc>
        <w:tc>
          <w:tcPr>
            <w:tcW w:w="3888" w:type="dxa"/>
            <w:shd w:val="clear" w:color="auto" w:fill="E0E0E0"/>
          </w:tcPr>
          <w:p w14:paraId="3F17499B" w14:textId="77777777" w:rsidR="00156839" w:rsidRPr="006F38E6" w:rsidRDefault="00156839" w:rsidP="009C2B8D">
            <w:pPr>
              <w:pStyle w:val="BodyText"/>
              <w:rPr>
                <w:rFonts w:asciiTheme="minorHAnsi" w:hAnsiTheme="minorHAnsi" w:cstheme="minorHAnsi"/>
                <w:bCs/>
                <w:sz w:val="22"/>
                <w:szCs w:val="22"/>
                <w:lang w:val="pt-BR" w:eastAsia="pt-BR"/>
              </w:rPr>
            </w:pPr>
          </w:p>
          <w:p w14:paraId="7B6FA4C2" w14:textId="77777777" w:rsidR="00156839" w:rsidRPr="006F38E6" w:rsidRDefault="00156839" w:rsidP="009C2B8D">
            <w:pPr>
              <w:pStyle w:val="BodyText"/>
              <w:rPr>
                <w:rFonts w:asciiTheme="minorHAnsi" w:hAnsiTheme="minorHAnsi" w:cstheme="minorHAnsi"/>
                <w:sz w:val="22"/>
                <w:szCs w:val="22"/>
                <w:lang w:eastAsia="zh-CN"/>
              </w:rPr>
            </w:pPr>
          </w:p>
        </w:tc>
      </w:tr>
      <w:tr w:rsidR="008352EB" w:rsidRPr="006F38E6" w14:paraId="2F2F77F6" w14:textId="77777777" w:rsidTr="00BA61BE">
        <w:tc>
          <w:tcPr>
            <w:tcW w:w="1098" w:type="dxa"/>
            <w:shd w:val="clear" w:color="auto" w:fill="E0E0E0"/>
          </w:tcPr>
          <w:p w14:paraId="6A80F6D6" w14:textId="77777777" w:rsidR="00156839" w:rsidRPr="006F38E6" w:rsidRDefault="00156839" w:rsidP="009C2B8D">
            <w:pPr>
              <w:pStyle w:val="BodyText"/>
              <w:rPr>
                <w:rFonts w:asciiTheme="minorHAnsi" w:hAnsiTheme="minorHAnsi" w:cstheme="minorHAnsi"/>
                <w:sz w:val="22"/>
                <w:szCs w:val="22"/>
                <w:lang w:eastAsia="zh-CN"/>
              </w:rPr>
            </w:pPr>
            <w:r>
              <w:rPr>
                <w:rFonts w:asciiTheme="minorHAnsi" w:hAnsiTheme="minorHAnsi" w:cstheme="minorHAnsi"/>
                <w:sz w:val="22"/>
                <w:szCs w:val="22"/>
                <w:lang w:eastAsia="zh-CN"/>
              </w:rPr>
              <w:t>Title</w:t>
            </w:r>
          </w:p>
        </w:tc>
        <w:tc>
          <w:tcPr>
            <w:tcW w:w="3870" w:type="dxa"/>
            <w:shd w:val="clear" w:color="auto" w:fill="E0E0E0"/>
          </w:tcPr>
          <w:p w14:paraId="708A58A4" w14:textId="77777777" w:rsidR="00156839" w:rsidRPr="006F38E6" w:rsidRDefault="00156839" w:rsidP="009C2B8D">
            <w:pPr>
              <w:pStyle w:val="BodyText"/>
              <w:rPr>
                <w:rFonts w:asciiTheme="minorHAnsi" w:hAnsiTheme="minorHAnsi" w:cstheme="minorHAnsi"/>
                <w:sz w:val="22"/>
                <w:szCs w:val="22"/>
                <w:lang w:eastAsia="zh-CN"/>
              </w:rPr>
            </w:pPr>
          </w:p>
        </w:tc>
        <w:tc>
          <w:tcPr>
            <w:tcW w:w="3888" w:type="dxa"/>
            <w:shd w:val="clear" w:color="auto" w:fill="E0E0E0"/>
          </w:tcPr>
          <w:p w14:paraId="067770CF" w14:textId="77777777" w:rsidR="00156839" w:rsidRPr="006F38E6" w:rsidRDefault="00156839" w:rsidP="009C2B8D">
            <w:pPr>
              <w:pStyle w:val="BodyText"/>
              <w:rPr>
                <w:rFonts w:asciiTheme="minorHAnsi" w:hAnsiTheme="minorHAnsi" w:cstheme="minorHAnsi"/>
                <w:sz w:val="22"/>
                <w:szCs w:val="22"/>
                <w:lang w:eastAsia="zh-CN"/>
              </w:rPr>
            </w:pPr>
          </w:p>
        </w:tc>
      </w:tr>
      <w:tr w:rsidR="008352EB" w:rsidRPr="006F38E6" w14:paraId="2571FE37" w14:textId="77777777" w:rsidTr="00BA61BE">
        <w:tc>
          <w:tcPr>
            <w:tcW w:w="1098" w:type="dxa"/>
            <w:shd w:val="clear" w:color="auto" w:fill="E0E0E0"/>
          </w:tcPr>
          <w:p w14:paraId="4B19EC23" w14:textId="77777777" w:rsidR="00156839" w:rsidRPr="006F38E6" w:rsidRDefault="00156839" w:rsidP="009C2B8D">
            <w:pPr>
              <w:pStyle w:val="BodyText"/>
              <w:rPr>
                <w:rFonts w:asciiTheme="minorHAnsi" w:hAnsiTheme="minorHAnsi" w:cstheme="minorHAnsi"/>
                <w:sz w:val="22"/>
                <w:szCs w:val="22"/>
                <w:lang w:eastAsia="zh-CN"/>
              </w:rPr>
            </w:pPr>
            <w:r>
              <w:rPr>
                <w:rFonts w:asciiTheme="minorHAnsi" w:hAnsiTheme="minorHAnsi" w:cstheme="minorHAnsi"/>
                <w:sz w:val="22"/>
                <w:szCs w:val="22"/>
                <w:lang w:eastAsia="zh-CN"/>
              </w:rPr>
              <w:t xml:space="preserve">Address </w:t>
            </w:r>
          </w:p>
        </w:tc>
        <w:tc>
          <w:tcPr>
            <w:tcW w:w="3870" w:type="dxa"/>
            <w:shd w:val="clear" w:color="auto" w:fill="E0E0E0"/>
          </w:tcPr>
          <w:p w14:paraId="3C84D767" w14:textId="77777777" w:rsidR="00156839" w:rsidRPr="006F38E6" w:rsidRDefault="00156839" w:rsidP="009C2B8D">
            <w:pPr>
              <w:pStyle w:val="BodyText"/>
              <w:rPr>
                <w:rFonts w:asciiTheme="minorHAnsi" w:hAnsiTheme="minorHAnsi" w:cstheme="minorHAnsi"/>
                <w:sz w:val="22"/>
                <w:szCs w:val="22"/>
                <w:lang w:eastAsia="zh-CN"/>
              </w:rPr>
            </w:pPr>
          </w:p>
        </w:tc>
        <w:tc>
          <w:tcPr>
            <w:tcW w:w="3888" w:type="dxa"/>
            <w:shd w:val="clear" w:color="auto" w:fill="E0E0E0"/>
          </w:tcPr>
          <w:p w14:paraId="4F485858" w14:textId="77777777" w:rsidR="00156839" w:rsidRPr="006F38E6" w:rsidRDefault="00156839" w:rsidP="009C2B8D">
            <w:pPr>
              <w:jc w:val="both"/>
              <w:rPr>
                <w:rFonts w:asciiTheme="minorHAnsi" w:hAnsiTheme="minorHAnsi" w:cstheme="minorHAnsi"/>
                <w:szCs w:val="22"/>
                <w:highlight w:val="yellow"/>
                <w:lang w:val="pt-BR"/>
              </w:rPr>
            </w:pPr>
          </w:p>
        </w:tc>
      </w:tr>
      <w:tr w:rsidR="008352EB" w:rsidRPr="006F38E6" w14:paraId="5C59AFFB" w14:textId="77777777" w:rsidTr="00BA61BE">
        <w:tc>
          <w:tcPr>
            <w:tcW w:w="1098" w:type="dxa"/>
            <w:shd w:val="clear" w:color="auto" w:fill="E0E0E0"/>
          </w:tcPr>
          <w:p w14:paraId="21323A15" w14:textId="77777777" w:rsidR="00156839" w:rsidRPr="006F38E6" w:rsidRDefault="00156839" w:rsidP="009C2B8D">
            <w:pPr>
              <w:pStyle w:val="BodyText"/>
              <w:rPr>
                <w:rFonts w:asciiTheme="minorHAnsi" w:hAnsiTheme="minorHAnsi" w:cstheme="minorHAnsi"/>
                <w:sz w:val="22"/>
                <w:szCs w:val="22"/>
                <w:lang w:eastAsia="zh-CN"/>
              </w:rPr>
            </w:pPr>
            <w:r>
              <w:rPr>
                <w:rFonts w:asciiTheme="minorHAnsi" w:hAnsiTheme="minorHAnsi" w:cstheme="minorHAnsi"/>
                <w:sz w:val="22"/>
                <w:szCs w:val="22"/>
                <w:lang w:eastAsia="zh-CN"/>
              </w:rPr>
              <w:t>E-mail</w:t>
            </w:r>
          </w:p>
        </w:tc>
        <w:tc>
          <w:tcPr>
            <w:tcW w:w="3870" w:type="dxa"/>
            <w:shd w:val="clear" w:color="auto" w:fill="E0E0E0"/>
          </w:tcPr>
          <w:p w14:paraId="1EEAF0A7" w14:textId="77777777" w:rsidR="00156839" w:rsidRPr="006F38E6" w:rsidRDefault="00156839" w:rsidP="009C2B8D">
            <w:pPr>
              <w:pStyle w:val="BodyText"/>
              <w:rPr>
                <w:rFonts w:asciiTheme="minorHAnsi" w:hAnsiTheme="minorHAnsi" w:cstheme="minorHAnsi"/>
                <w:sz w:val="22"/>
                <w:szCs w:val="22"/>
                <w:lang w:eastAsia="zh-CN"/>
              </w:rPr>
            </w:pPr>
          </w:p>
        </w:tc>
        <w:tc>
          <w:tcPr>
            <w:tcW w:w="3888" w:type="dxa"/>
            <w:shd w:val="clear" w:color="auto" w:fill="E0E0E0"/>
          </w:tcPr>
          <w:p w14:paraId="361EF2E9" w14:textId="77777777" w:rsidR="00156839" w:rsidRPr="006F38E6" w:rsidRDefault="00156839" w:rsidP="009C2B8D">
            <w:pPr>
              <w:pStyle w:val="BodyText"/>
              <w:rPr>
                <w:rFonts w:asciiTheme="minorHAnsi" w:hAnsiTheme="minorHAnsi" w:cstheme="minorHAnsi"/>
                <w:sz w:val="22"/>
                <w:szCs w:val="22"/>
                <w:lang w:eastAsia="zh-CN"/>
              </w:rPr>
            </w:pPr>
          </w:p>
        </w:tc>
      </w:tr>
      <w:tr w:rsidR="008352EB" w:rsidRPr="006F38E6" w14:paraId="4CD3592F" w14:textId="77777777" w:rsidTr="00BA61BE">
        <w:tc>
          <w:tcPr>
            <w:tcW w:w="1098" w:type="dxa"/>
            <w:shd w:val="clear" w:color="auto" w:fill="E0E0E0"/>
          </w:tcPr>
          <w:p w14:paraId="77C11A21" w14:textId="77777777" w:rsidR="00156839" w:rsidRPr="006F38E6" w:rsidRDefault="00156839" w:rsidP="009C2B8D">
            <w:pPr>
              <w:pStyle w:val="BodyText"/>
              <w:rPr>
                <w:rFonts w:asciiTheme="minorHAnsi" w:hAnsiTheme="minorHAnsi" w:cstheme="minorHAnsi"/>
                <w:sz w:val="22"/>
                <w:szCs w:val="22"/>
                <w:lang w:eastAsia="zh-CN"/>
              </w:rPr>
            </w:pPr>
            <w:r>
              <w:rPr>
                <w:rFonts w:asciiTheme="minorHAnsi" w:hAnsiTheme="minorHAnsi" w:cstheme="minorHAnsi"/>
                <w:sz w:val="22"/>
                <w:szCs w:val="22"/>
                <w:lang w:eastAsia="zh-CN"/>
              </w:rPr>
              <w:t>Phone</w:t>
            </w:r>
          </w:p>
        </w:tc>
        <w:tc>
          <w:tcPr>
            <w:tcW w:w="3870" w:type="dxa"/>
            <w:shd w:val="clear" w:color="auto" w:fill="E0E0E0"/>
          </w:tcPr>
          <w:p w14:paraId="46145E0C" w14:textId="77777777" w:rsidR="00156839" w:rsidRPr="006F38E6" w:rsidDel="006C0230" w:rsidRDefault="00156839" w:rsidP="009C2B8D">
            <w:pPr>
              <w:pStyle w:val="BodyText"/>
              <w:rPr>
                <w:rFonts w:asciiTheme="minorHAnsi" w:hAnsiTheme="minorHAnsi" w:cstheme="minorHAnsi"/>
                <w:sz w:val="22"/>
                <w:szCs w:val="22"/>
                <w:lang w:eastAsia="zh-CN"/>
              </w:rPr>
            </w:pPr>
          </w:p>
        </w:tc>
        <w:tc>
          <w:tcPr>
            <w:tcW w:w="3888" w:type="dxa"/>
            <w:shd w:val="clear" w:color="auto" w:fill="E0E0E0"/>
          </w:tcPr>
          <w:p w14:paraId="1668C828" w14:textId="77777777" w:rsidR="00156839" w:rsidRPr="006F38E6" w:rsidRDefault="00156839" w:rsidP="009C2B8D">
            <w:pPr>
              <w:pStyle w:val="BodyText"/>
              <w:rPr>
                <w:rFonts w:asciiTheme="minorHAnsi" w:hAnsiTheme="minorHAnsi" w:cstheme="minorHAnsi"/>
                <w:sz w:val="22"/>
                <w:szCs w:val="22"/>
                <w:lang w:eastAsia="zh-CN"/>
              </w:rPr>
            </w:pPr>
          </w:p>
        </w:tc>
      </w:tr>
    </w:tbl>
    <w:p w14:paraId="631131D2" w14:textId="77777777" w:rsidR="009E333E" w:rsidRDefault="009E333E">
      <w:pPr>
        <w:jc w:val="both"/>
        <w:rPr>
          <w:rFonts w:asciiTheme="minorHAnsi" w:hAnsiTheme="minorHAnsi" w:cstheme="minorHAnsi"/>
          <w:szCs w:val="22"/>
        </w:rPr>
      </w:pPr>
    </w:p>
    <w:p w14:paraId="25B125A6" w14:textId="77777777" w:rsidR="009E333E" w:rsidRDefault="00000000">
      <w:pPr>
        <w:pStyle w:val="Heading1"/>
        <w:spacing w:after="120"/>
        <w:jc w:val="left"/>
        <w:rPr>
          <w:rFonts w:asciiTheme="minorHAnsi" w:hAnsiTheme="minorHAnsi" w:cstheme="minorHAnsi"/>
          <w:szCs w:val="22"/>
        </w:rPr>
      </w:pPr>
      <w:bookmarkStart w:id="19" w:name="_Toc242471408"/>
      <w:r>
        <w:rPr>
          <w:rFonts w:asciiTheme="minorHAnsi" w:hAnsiTheme="minorHAnsi" w:cstheme="minorHAnsi"/>
          <w:szCs w:val="22"/>
        </w:rPr>
        <w:lastRenderedPageBreak/>
        <w:t>18. Governing Law</w:t>
      </w:r>
      <w:bookmarkEnd w:id="19"/>
    </w:p>
    <w:p w14:paraId="17FE1B69"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i/>
          <w:iCs/>
          <w:color w:val="1F4E79"/>
          <w:szCs w:val="22"/>
          <w:highlight w:val="green"/>
        </w:rPr>
        <w:t>Note for ESCA readers: choose a neutral, well-developed commercial law consistent with the arbitral seat (for example English, Swiss or Singapore law). Leaving the choice to the Seller usually results in the law of the Seller’s home country.</w:t>
      </w:r>
    </w:p>
    <w:p w14:paraId="0A6E5746"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This Agreement and any non-contractual obligations arising out of it are governed by the laws of </w:t>
      </w:r>
      <w:r>
        <w:rPr>
          <w:rFonts w:asciiTheme="minorHAnsi" w:hAnsiTheme="minorHAnsi" w:cstheme="minorHAnsi"/>
          <w:szCs w:val="22"/>
          <w:highlight w:val="yellow"/>
        </w:rPr>
        <w:t>[_____________]</w:t>
      </w:r>
      <w:r>
        <w:rPr>
          <w:rFonts w:asciiTheme="minorHAnsi" w:hAnsiTheme="minorHAnsi" w:cstheme="minorHAnsi"/>
          <w:szCs w:val="22"/>
        </w:rPr>
        <w:t xml:space="preserve">. The United Nations Convention on Contracts for the International Sale of Goods (CISG) does not apply. </w:t>
      </w:r>
      <w:r>
        <w:rPr>
          <w:rFonts w:asciiTheme="minorHAnsi" w:hAnsiTheme="minorHAnsi" w:cstheme="minorHAnsi"/>
          <w:szCs w:val="22"/>
          <w:highlight w:val="yellow"/>
        </w:rPr>
        <w:t>[Drafting note: a neutral, well-developed commercial law consistent with the arbitral seat is recommended.]</w:t>
      </w:r>
    </w:p>
    <w:p w14:paraId="4616E0E3" w14:textId="77777777" w:rsidR="009E333E" w:rsidRDefault="00000000">
      <w:pPr>
        <w:pStyle w:val="Heading1"/>
        <w:spacing w:after="120"/>
        <w:jc w:val="left"/>
        <w:rPr>
          <w:rFonts w:asciiTheme="minorHAnsi" w:hAnsiTheme="minorHAnsi" w:cstheme="minorHAnsi"/>
          <w:szCs w:val="22"/>
        </w:rPr>
      </w:pPr>
      <w:bookmarkStart w:id="20" w:name="_Toc242471409"/>
      <w:r>
        <w:rPr>
          <w:rFonts w:asciiTheme="minorHAnsi" w:hAnsiTheme="minorHAnsi" w:cstheme="minorHAnsi"/>
          <w:szCs w:val="22"/>
        </w:rPr>
        <w:t>19. Severability</w:t>
      </w:r>
      <w:bookmarkEnd w:id="20"/>
    </w:p>
    <w:p w14:paraId="76BE30BD"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If any provision of this Agreement is held invalid or unenforceable for any reason, such invalidity does not affect the validity of the remaining provisions, and the Parties shall substitute for the invalid provision a valid provision which most closely approximates the intent and economic effect of the invalid provision. Without limiting the foregoing, if any liquidated damages or limitation of liability provision is held unenforceable in part, it shall be enforced to the maximum extent permitted and the Parties shall negotiate in good faith a replacement that achieves the same economic allocation.</w:t>
      </w:r>
    </w:p>
    <w:p w14:paraId="7960BF6A" w14:textId="77777777" w:rsidR="009E333E" w:rsidRDefault="00000000">
      <w:pPr>
        <w:pStyle w:val="Heading1"/>
        <w:spacing w:after="120"/>
        <w:jc w:val="left"/>
        <w:rPr>
          <w:rFonts w:asciiTheme="minorHAnsi" w:hAnsiTheme="minorHAnsi" w:cstheme="minorHAnsi"/>
          <w:szCs w:val="22"/>
        </w:rPr>
      </w:pPr>
      <w:bookmarkStart w:id="21" w:name="_Toc242471410"/>
      <w:r>
        <w:rPr>
          <w:rFonts w:asciiTheme="minorHAnsi" w:hAnsiTheme="minorHAnsi" w:cstheme="minorHAnsi"/>
          <w:szCs w:val="22"/>
        </w:rPr>
        <w:t>20. Entire Agreement, Modifications and Order of Precedence</w:t>
      </w:r>
      <w:bookmarkEnd w:id="21"/>
    </w:p>
    <w:p w14:paraId="0F9C2FFC"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20.1 This Agreement together with the attached Appendices and Purchase Orders (which constitute an integral part of this Agreement) sets forth the entire agreement and understanding between the Parties for the purpose hereof. Neither Party is bound by any prior or contemporaneous conditions, definitions, warranties, understandings or representations with respect to such purpose other than as expressly provided herein. This Agreement shall not be modified or changed in any manner except by a written amendment or instrument signed by a duly authorised representative of each Party. Nothing in this Clause limits liability for fraud or excludes any warranty or remedy that cannot be excluded by law.</w:t>
      </w:r>
    </w:p>
    <w:p w14:paraId="75E98E5E" w14:textId="2818542A"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 xml:space="preserve">20.2 Order of precedence. The documents forming this Agreement are to be read as mutually explanatory. </w:t>
      </w:r>
      <w:r>
        <w:rPr>
          <w:rFonts w:asciiTheme="minorHAnsi" w:hAnsiTheme="minorHAnsi" w:cstheme="minorHAnsi"/>
          <w:szCs w:val="22"/>
        </w:rPr>
        <w:t xml:space="preserve">A later signed amendment or Variation, and a project-specific departure recorded in </w:t>
      </w:r>
      <w:r>
        <w:rPr>
          <w:rFonts w:asciiTheme="minorHAnsi" w:hAnsiTheme="minorHAnsi" w:cstheme="minorHAnsi"/>
          <w:szCs w:val="22"/>
          <w:highlight w:val="cyan"/>
        </w:rPr>
        <w:t>APPENDIX A</w:t>
      </w:r>
      <w:r>
        <w:rPr>
          <w:rFonts w:asciiTheme="minorHAnsi" w:hAnsiTheme="minorHAnsi" w:cstheme="minorHAnsi"/>
          <w:szCs w:val="22"/>
        </w:rPr>
        <w:t xml:space="preserve"> that is signed by both Parties and identifies the provision it amends, prevail to the extent of that express amendment. An approval under Clause 4.4 changes only the approved technical baseline and does not amend price, time or other terms unless expressly agreed under Clause 4.11. Subject to that, in case of conflict or inconsistency the following order applies, the earlier prevailing over the later: (a)</w:t>
      </w:r>
      <w:r>
        <w:rPr>
          <w:rFonts w:asciiTheme="minorHAnsi" w:hAnsiTheme="minorHAnsi" w:cstheme="minorHAnsi"/>
          <w:szCs w:val="22"/>
        </w:rPr>
        <w:t xml:space="preserve"> the Clauses of this Agreement; (b) </w:t>
      </w:r>
      <w:r>
        <w:rPr>
          <w:rFonts w:asciiTheme="minorHAnsi" w:hAnsiTheme="minorHAnsi" w:cstheme="minorHAnsi"/>
          <w:szCs w:val="22"/>
          <w:highlight w:val="cyan"/>
        </w:rPr>
        <w:t>APPENDIX G</w:t>
      </w:r>
      <w:r>
        <w:rPr>
          <w:rFonts w:asciiTheme="minorHAnsi" w:hAnsiTheme="minorHAnsi" w:cstheme="minorHAnsi"/>
          <w:szCs w:val="22"/>
        </w:rPr>
        <w:t xml:space="preserve"> (BESS Warranty) and the Performance Guarantees; (c) </w:t>
      </w:r>
      <w:r>
        <w:rPr>
          <w:rFonts w:asciiTheme="minorHAnsi" w:hAnsiTheme="minorHAnsi" w:cstheme="minorHAnsi"/>
          <w:szCs w:val="22"/>
          <w:highlight w:val="cyan"/>
        </w:rPr>
        <w:t>APPENDICES B to E</w:t>
      </w:r>
      <w:r>
        <w:rPr>
          <w:rFonts w:asciiTheme="minorHAnsi" w:hAnsiTheme="minorHAnsi" w:cstheme="minorHAnsi"/>
          <w:szCs w:val="22"/>
        </w:rPr>
        <w:t xml:space="preserve"> (Technical Specifications), </w:t>
      </w:r>
      <w:r>
        <w:rPr>
          <w:rFonts w:asciiTheme="minorHAnsi" w:hAnsiTheme="minorHAnsi" w:cstheme="minorHAnsi"/>
          <w:szCs w:val="22"/>
          <w:highlight w:val="cyan"/>
        </w:rPr>
        <w:t>APPENDIX R</w:t>
      </w:r>
      <w:r>
        <w:rPr>
          <w:rFonts w:asciiTheme="minorHAnsi" w:hAnsiTheme="minorHAnsi" w:cstheme="minorHAnsi"/>
          <w:szCs w:val="22"/>
        </w:rPr>
        <w:t xml:space="preserve"> (Critical Component List) and </w:t>
      </w:r>
      <w:r>
        <w:rPr>
          <w:rFonts w:asciiTheme="minorHAnsi" w:hAnsiTheme="minorHAnsi" w:cstheme="minorHAnsi"/>
          <w:szCs w:val="22"/>
          <w:highlight w:val="cyan"/>
        </w:rPr>
        <w:t>APPENDIX L</w:t>
      </w:r>
      <w:r>
        <w:rPr>
          <w:rFonts w:asciiTheme="minorHAnsi" w:hAnsiTheme="minorHAnsi" w:cstheme="minorHAnsi"/>
          <w:szCs w:val="22"/>
        </w:rPr>
        <w:t xml:space="preserve"> (Data Monitoring); (d) </w:t>
      </w:r>
      <w:r>
        <w:rPr>
          <w:rFonts w:asciiTheme="minorHAnsi" w:hAnsiTheme="minorHAnsi" w:cstheme="minorHAnsi"/>
          <w:szCs w:val="22"/>
          <w:highlight w:val="cyan"/>
        </w:rPr>
        <w:t>APPENDICES F, H, J, M, O, P, U, V and W</w:t>
      </w:r>
      <w:r>
        <w:rPr>
          <w:rFonts w:asciiTheme="minorHAnsi" w:hAnsiTheme="minorHAnsi" w:cstheme="minorHAnsi"/>
          <w:szCs w:val="22"/>
        </w:rPr>
        <w:t xml:space="preserve"> (inspection, quality, testing, support, transport, cybersecurity and safety); (e) </w:t>
      </w:r>
      <w:r>
        <w:rPr>
          <w:rFonts w:asciiTheme="minorHAnsi" w:hAnsiTheme="minorHAnsi" w:cstheme="minorHAnsi"/>
          <w:szCs w:val="22"/>
          <w:highlight w:val="cyan"/>
        </w:rPr>
        <w:t>APPENDIX A</w:t>
      </w:r>
      <w:r>
        <w:rPr>
          <w:rFonts w:asciiTheme="minorHAnsi" w:hAnsiTheme="minorHAnsi" w:cstheme="minorHAnsi"/>
          <w:szCs w:val="22"/>
        </w:rPr>
        <w:t xml:space="preserve"> (Purchase Order) and the remaining Appendices; (f) any datasheet, proposal, warranty booklet or terms of the Seller. Where provisions of equal rank conflict, the provision imposing the higher standard on the Seller prevails. No Seller document attached for information shall limit or qualify any provision of this Agreement.</w:t>
      </w:r>
    </w:p>
    <w:p w14:paraId="1C07925A" w14:textId="77777777" w:rsidR="009E333E" w:rsidRDefault="00000000">
      <w:pPr>
        <w:pStyle w:val="Heading1"/>
        <w:spacing w:after="120"/>
        <w:jc w:val="left"/>
        <w:rPr>
          <w:rFonts w:asciiTheme="minorHAnsi" w:hAnsiTheme="minorHAnsi" w:cstheme="minorHAnsi"/>
          <w:szCs w:val="22"/>
        </w:rPr>
      </w:pPr>
      <w:bookmarkStart w:id="22" w:name="_Toc242471411"/>
      <w:r>
        <w:rPr>
          <w:rFonts w:asciiTheme="minorHAnsi" w:hAnsiTheme="minorHAnsi" w:cstheme="minorHAnsi"/>
          <w:szCs w:val="22"/>
        </w:rPr>
        <w:lastRenderedPageBreak/>
        <w:t>21. Language</w:t>
      </w:r>
      <w:bookmarkEnd w:id="22"/>
    </w:p>
    <w:p w14:paraId="6986573E"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This Agreement is written in English. Either Party may, at its own cost, prepare a translation into any other language for its convenience; the English version alone is binding and prevails in any dispute. All technical documentation, test reports, data labels and Software interfaces delivered under this Agreement shall be in English. The English version of any document prevails over any other language version.</w:t>
      </w:r>
      <w:r>
        <w:rPr>
          <w:rFonts w:asciiTheme="minorHAnsi" w:hAnsiTheme="minorHAnsi" w:cstheme="minorHAnsi"/>
          <w:szCs w:val="22"/>
        </w:rPr>
        <w:t xml:space="preserve"> The Seller shall also provide the labels, safety information, instructions, interfaces and other documents in any language required by applicable law at the </w:t>
      </w:r>
      <w:r>
        <w:rPr>
          <w:rFonts w:asciiTheme="minorHAnsi" w:hAnsiTheme="minorHAnsi" w:cstheme="minorHAnsi"/>
          <w:szCs w:val="22"/>
          <w:highlight w:val="yellow"/>
        </w:rPr>
        <w:t>Named Place of Destination</w:t>
      </w:r>
      <w:r>
        <w:rPr>
          <w:rFonts w:asciiTheme="minorHAnsi" w:hAnsiTheme="minorHAnsi" w:cstheme="minorHAnsi"/>
          <w:szCs w:val="22"/>
        </w:rPr>
        <w:t>, and the support languages required by Clause 7.1.4; English prevails for the interpretation of this Agreement between the Parties without overriding any mandatory local-language requirement.</w:t>
      </w:r>
    </w:p>
    <w:p w14:paraId="61CDC97A" w14:textId="77777777" w:rsidR="009E333E" w:rsidRDefault="00000000">
      <w:pPr>
        <w:pStyle w:val="Heading1"/>
        <w:spacing w:after="120"/>
        <w:jc w:val="left"/>
        <w:rPr>
          <w:rFonts w:asciiTheme="minorHAnsi" w:hAnsiTheme="minorHAnsi" w:cstheme="minorHAnsi"/>
          <w:szCs w:val="22"/>
        </w:rPr>
      </w:pPr>
      <w:bookmarkStart w:id="23" w:name="_Toc242471412"/>
      <w:r>
        <w:rPr>
          <w:rFonts w:asciiTheme="minorHAnsi" w:hAnsiTheme="minorHAnsi" w:cstheme="minorHAnsi"/>
          <w:szCs w:val="22"/>
        </w:rPr>
        <w:t>22. General Provisions</w:t>
      </w:r>
      <w:bookmarkEnd w:id="23"/>
    </w:p>
    <w:p w14:paraId="2EB73300"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22.1 Survival. Clauses 4.6, 4.7, 4.13, 4.15, 7, 10, 11, 14, 15, 18 and any other provision that by its nature should survive continue in force after expiry or termination of this Agreement.</w:t>
      </w:r>
    </w:p>
    <w:p w14:paraId="452C4D22"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22.2 No waiver. No failure or delay in exercising a right under this Agreement operates as a waiver of it; a waiver is effective only if given in writing.</w:t>
      </w:r>
    </w:p>
    <w:p w14:paraId="4F97EBCA"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22.3 Counterparts and electronic signature. This Agreement may be executed in counterparts and by electronic signature, each of which is an original and which together form one instrument.</w:t>
      </w:r>
    </w:p>
    <w:p w14:paraId="123D8771" w14:textId="486196BD"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22.4 Third-party rights. Except for permitted successors and assigns under Clause 13 and persons expressly granted an indemnity or enforcement right under this Agreement, no person other than the Parties has any right to enforce any of its terms.</w:t>
      </w:r>
    </w:p>
    <w:p w14:paraId="5D81B278"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22.5 Costs. Each Party bears its own costs of negotiating and executing this Agreement.</w:t>
      </w:r>
    </w:p>
    <w:p w14:paraId="53A89D2E"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22.6 Further assurance. Each Party shall execute such documents and do such things as are reasonably required to give effect to this Agreement, including documents reasonably required by the Buyer’s financiers.</w:t>
      </w:r>
    </w:p>
    <w:p w14:paraId="06A2C3A8" w14:textId="77777777" w:rsidR="009E333E" w:rsidRDefault="00000000">
      <w:pPr>
        <w:spacing w:after="120"/>
        <w:ind w:left="720"/>
        <w:jc w:val="both"/>
        <w:rPr>
          <w:rFonts w:asciiTheme="minorHAnsi" w:hAnsiTheme="minorHAnsi" w:cstheme="minorHAnsi"/>
          <w:szCs w:val="22"/>
        </w:rPr>
      </w:pPr>
      <w:r>
        <w:rPr>
          <w:rFonts w:asciiTheme="minorHAnsi" w:hAnsiTheme="minorHAnsi" w:cstheme="minorHAnsi"/>
          <w:szCs w:val="22"/>
        </w:rPr>
        <w:t>22.7 Independent contractors. Nothing in this Agreement creates a partnership, joint venture or agency between the Parties.</w:t>
      </w:r>
    </w:p>
    <w:p w14:paraId="2D38C49F" w14:textId="77777777" w:rsidR="009E333E" w:rsidRDefault="00000000">
      <w:pPr>
        <w:spacing w:after="120"/>
        <w:jc w:val="both"/>
        <w:rPr>
          <w:rFonts w:asciiTheme="minorHAnsi" w:hAnsiTheme="minorHAnsi" w:cstheme="minorHAnsi"/>
          <w:szCs w:val="22"/>
        </w:rPr>
      </w:pPr>
      <w:r>
        <w:rPr>
          <w:rFonts w:asciiTheme="minorHAnsi" w:hAnsiTheme="minorHAnsi" w:cstheme="minorHAnsi"/>
          <w:szCs w:val="22"/>
        </w:rPr>
        <w:t>IN WITNESS WHEREOF, this Agreement is signed by both Parties in two (2) original copies or in counterparts in accordance with Clause 22.3; the Buyer and the Seller each hold one (1) copy of the Agreement. The undersigned have caused this Agreement to be signed by duly authorised officers or representatives of the Party on whose behalf they are signing and agree to bind their respective Party hereto.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0"/>
        <w:gridCol w:w="4680"/>
      </w:tblGrid>
      <w:tr w:rsidR="00737228" w:rsidRPr="006F38E6" w14:paraId="7B1E9B6A" w14:textId="77777777" w:rsidTr="0077272D">
        <w:tc>
          <w:tcPr>
            <w:tcW w:w="5092" w:type="dxa"/>
          </w:tcPr>
          <w:p w14:paraId="75DBD143" w14:textId="77777777" w:rsidR="0077272D" w:rsidRPr="006F38E6" w:rsidRDefault="0077272D" w:rsidP="0077272D">
            <w:pPr>
              <w:pStyle w:val="Center"/>
              <w:rPr>
                <w:rFonts w:asciiTheme="minorHAnsi" w:hAnsiTheme="minorHAnsi" w:cstheme="minorHAnsi"/>
              </w:rPr>
            </w:pPr>
            <w:r>
              <w:rPr>
                <w:rFonts w:asciiTheme="minorHAnsi" w:hAnsiTheme="minorHAnsi" w:cstheme="minorHAnsi"/>
              </w:rPr>
              <w:t>SELLER</w:t>
            </w:r>
            <w:r>
              <w:rPr>
                <w:rFonts w:asciiTheme="minorHAnsi" w:hAnsiTheme="minorHAnsi" w:cstheme="minorHAnsi"/>
              </w:rPr>
              <w:tab/>
            </w:r>
          </w:p>
          <w:p w14:paraId="0CF7FED0" w14:textId="77777777" w:rsidR="0077272D" w:rsidRPr="006F38E6" w:rsidRDefault="0077272D" w:rsidP="0077272D">
            <w:pPr>
              <w:pStyle w:val="Center"/>
              <w:jc w:val="both"/>
              <w:rPr>
                <w:rFonts w:asciiTheme="minorHAnsi" w:hAnsiTheme="minorHAnsi" w:cstheme="minorHAnsi"/>
                <w:b w:val="0"/>
              </w:rPr>
            </w:pPr>
            <w:r>
              <w:rPr>
                <w:rFonts w:asciiTheme="minorHAnsi" w:hAnsiTheme="minorHAnsi" w:cstheme="minorHAnsi"/>
                <w:b w:val="0"/>
              </w:rPr>
              <w:t>By: _____________________________</w:t>
            </w:r>
            <w:r>
              <w:rPr>
                <w:rFonts w:asciiTheme="minorHAnsi" w:hAnsiTheme="minorHAnsi" w:cstheme="minorHAnsi"/>
                <w:b w:val="0"/>
                <w:lang w:eastAsia="zh-CN"/>
              </w:rPr>
              <w:t xml:space="preserve">                </w:t>
            </w:r>
          </w:p>
          <w:p w14:paraId="20F734A0" w14:textId="77777777" w:rsidR="0077272D" w:rsidRPr="006F38E6" w:rsidRDefault="0077272D" w:rsidP="0077272D">
            <w:pPr>
              <w:pStyle w:val="Center"/>
              <w:jc w:val="both"/>
              <w:rPr>
                <w:rFonts w:asciiTheme="minorHAnsi" w:hAnsiTheme="minorHAnsi" w:cstheme="minorHAnsi"/>
                <w:b w:val="0"/>
                <w:lang w:eastAsia="zh-CN"/>
              </w:rPr>
            </w:pPr>
            <w:r>
              <w:rPr>
                <w:rFonts w:asciiTheme="minorHAnsi" w:hAnsiTheme="minorHAnsi" w:cstheme="minorHAnsi"/>
                <w:b w:val="0"/>
              </w:rPr>
              <w:t>Name: ___________________________</w:t>
            </w:r>
            <w:r>
              <w:rPr>
                <w:rFonts w:asciiTheme="minorHAnsi" w:hAnsiTheme="minorHAnsi" w:cstheme="minorHAnsi"/>
                <w:b w:val="0"/>
              </w:rPr>
              <w:tab/>
            </w:r>
          </w:p>
          <w:p w14:paraId="46AAA768" w14:textId="77777777" w:rsidR="0077272D" w:rsidRPr="006F38E6" w:rsidRDefault="0077272D" w:rsidP="0077272D">
            <w:pPr>
              <w:pStyle w:val="Center"/>
              <w:jc w:val="both"/>
              <w:rPr>
                <w:rFonts w:asciiTheme="minorHAnsi" w:hAnsiTheme="minorHAnsi" w:cstheme="minorHAnsi"/>
                <w:b w:val="0"/>
                <w:lang w:eastAsia="zh-CN"/>
              </w:rPr>
            </w:pPr>
            <w:r>
              <w:rPr>
                <w:rFonts w:asciiTheme="minorHAnsi" w:hAnsiTheme="minorHAnsi" w:cstheme="minorHAnsi"/>
                <w:b w:val="0"/>
              </w:rPr>
              <w:t>Title: ____________________________</w:t>
            </w:r>
            <w:r>
              <w:rPr>
                <w:rFonts w:asciiTheme="minorHAnsi" w:hAnsiTheme="minorHAnsi" w:cstheme="minorHAnsi"/>
                <w:b w:val="0"/>
              </w:rPr>
              <w:tab/>
            </w:r>
            <w:r>
              <w:rPr>
                <w:rFonts w:asciiTheme="minorHAnsi" w:hAnsiTheme="minorHAnsi" w:cstheme="minorHAnsi"/>
                <w:b w:val="0"/>
                <w:lang w:eastAsia="zh-CN"/>
              </w:rPr>
              <w:t xml:space="preserve">  </w:t>
            </w:r>
          </w:p>
          <w:p w14:paraId="1BE50CFC" w14:textId="77777777" w:rsidR="0077272D" w:rsidRPr="006F38E6" w:rsidRDefault="0077272D" w:rsidP="0077272D">
            <w:pPr>
              <w:pStyle w:val="Center"/>
              <w:jc w:val="both"/>
              <w:rPr>
                <w:rFonts w:asciiTheme="minorHAnsi" w:hAnsiTheme="minorHAnsi" w:cstheme="minorHAnsi"/>
                <w:b w:val="0"/>
                <w:lang w:eastAsia="zh-CN"/>
              </w:rPr>
            </w:pPr>
            <w:r>
              <w:rPr>
                <w:rFonts w:asciiTheme="minorHAnsi" w:hAnsiTheme="minorHAnsi" w:cstheme="minorHAnsi"/>
                <w:b w:val="0"/>
              </w:rPr>
              <w:t xml:space="preserve">Date: ___________________________  </w:t>
            </w:r>
          </w:p>
          <w:p w14:paraId="3D2FEEF9" w14:textId="77777777" w:rsidR="00737228" w:rsidRPr="006F38E6" w:rsidRDefault="0077272D" w:rsidP="0077272D">
            <w:pPr>
              <w:pStyle w:val="Center"/>
              <w:jc w:val="both"/>
              <w:rPr>
                <w:rFonts w:asciiTheme="minorHAnsi" w:hAnsiTheme="minorHAnsi" w:cstheme="minorHAnsi"/>
                <w:b w:val="0"/>
                <w:lang w:eastAsia="zh-CN"/>
              </w:rPr>
            </w:pPr>
            <w:r>
              <w:rPr>
                <w:rFonts w:asciiTheme="minorHAnsi" w:hAnsiTheme="minorHAnsi" w:cstheme="minorHAnsi"/>
                <w:b w:val="0"/>
              </w:rPr>
              <w:lastRenderedPageBreak/>
              <w:t xml:space="preserve">Seal and Signature: ________________  </w:t>
            </w:r>
            <w:r>
              <w:rPr>
                <w:rFonts w:asciiTheme="minorHAnsi" w:hAnsiTheme="minorHAnsi" w:cstheme="minorHAnsi"/>
                <w:b w:val="0"/>
              </w:rPr>
              <w:tab/>
            </w:r>
            <w:r>
              <w:rPr>
                <w:rFonts w:asciiTheme="minorHAnsi" w:hAnsiTheme="minorHAnsi" w:cstheme="minorHAnsi"/>
                <w:b w:val="0"/>
                <w:lang w:eastAsia="zh-CN"/>
              </w:rPr>
              <w:t xml:space="preserve">    </w:t>
            </w:r>
          </w:p>
        </w:tc>
        <w:tc>
          <w:tcPr>
            <w:tcW w:w="5093" w:type="dxa"/>
          </w:tcPr>
          <w:p w14:paraId="72EF8E9C" w14:textId="77777777" w:rsidR="0077272D" w:rsidRPr="006F38E6" w:rsidRDefault="0077272D" w:rsidP="0077272D">
            <w:pPr>
              <w:pStyle w:val="Center"/>
              <w:rPr>
                <w:rFonts w:asciiTheme="minorHAnsi" w:hAnsiTheme="minorHAnsi" w:cstheme="minorHAnsi"/>
              </w:rPr>
            </w:pPr>
            <w:r>
              <w:rPr>
                <w:rFonts w:asciiTheme="minorHAnsi" w:hAnsiTheme="minorHAnsi" w:cstheme="minorHAnsi"/>
              </w:rPr>
              <w:lastRenderedPageBreak/>
              <w:t>BUYER</w:t>
            </w:r>
            <w:r>
              <w:rPr>
                <w:rFonts w:asciiTheme="minorHAnsi" w:hAnsiTheme="minorHAnsi" w:cstheme="minorHAnsi"/>
              </w:rPr>
              <w:tab/>
            </w:r>
            <w:r>
              <w:rPr>
                <w:rFonts w:asciiTheme="minorHAnsi" w:hAnsiTheme="minorHAnsi" w:cstheme="minorHAnsi"/>
              </w:rPr>
              <w:tab/>
            </w:r>
          </w:p>
          <w:p w14:paraId="6B3EF3CD" w14:textId="77777777" w:rsidR="0077272D" w:rsidRPr="006F38E6" w:rsidRDefault="0077272D" w:rsidP="0077272D">
            <w:pPr>
              <w:pStyle w:val="Center"/>
              <w:jc w:val="both"/>
              <w:rPr>
                <w:rFonts w:asciiTheme="minorHAnsi" w:hAnsiTheme="minorHAnsi" w:cstheme="minorHAnsi"/>
                <w:b w:val="0"/>
              </w:rPr>
            </w:pPr>
            <w:r>
              <w:rPr>
                <w:rFonts w:asciiTheme="minorHAnsi" w:hAnsiTheme="minorHAnsi" w:cstheme="minorHAnsi"/>
                <w:b w:val="0"/>
              </w:rPr>
              <w:t>By: _____________________________</w:t>
            </w:r>
            <w:r>
              <w:rPr>
                <w:rFonts w:asciiTheme="minorHAnsi" w:hAnsiTheme="minorHAnsi" w:cstheme="minorHAnsi"/>
                <w:b w:val="0"/>
                <w:lang w:eastAsia="zh-CN"/>
              </w:rPr>
              <w:t xml:space="preserve">                </w:t>
            </w:r>
          </w:p>
          <w:p w14:paraId="691BE659" w14:textId="77777777" w:rsidR="0077272D" w:rsidRPr="006F38E6" w:rsidRDefault="0077272D" w:rsidP="0077272D">
            <w:pPr>
              <w:pStyle w:val="Center"/>
              <w:jc w:val="both"/>
              <w:rPr>
                <w:rFonts w:asciiTheme="minorHAnsi" w:hAnsiTheme="minorHAnsi" w:cstheme="minorHAnsi"/>
                <w:b w:val="0"/>
                <w:lang w:eastAsia="zh-CN"/>
              </w:rPr>
            </w:pPr>
            <w:r>
              <w:rPr>
                <w:rFonts w:asciiTheme="minorHAnsi" w:hAnsiTheme="minorHAnsi" w:cstheme="minorHAnsi"/>
                <w:b w:val="0"/>
              </w:rPr>
              <w:t>Name: ___________________________</w:t>
            </w:r>
            <w:r>
              <w:rPr>
                <w:rFonts w:asciiTheme="minorHAnsi" w:hAnsiTheme="minorHAnsi" w:cstheme="minorHAnsi"/>
                <w:b w:val="0"/>
              </w:rPr>
              <w:tab/>
            </w:r>
          </w:p>
          <w:p w14:paraId="6E60CD4E" w14:textId="77777777" w:rsidR="0077272D" w:rsidRPr="006F38E6" w:rsidRDefault="0077272D" w:rsidP="0077272D">
            <w:pPr>
              <w:pStyle w:val="Center"/>
              <w:jc w:val="both"/>
              <w:rPr>
                <w:rFonts w:asciiTheme="minorHAnsi" w:hAnsiTheme="minorHAnsi" w:cstheme="minorHAnsi"/>
                <w:b w:val="0"/>
                <w:lang w:eastAsia="zh-CN"/>
              </w:rPr>
            </w:pPr>
            <w:r>
              <w:rPr>
                <w:rFonts w:asciiTheme="minorHAnsi" w:hAnsiTheme="minorHAnsi" w:cstheme="minorHAnsi"/>
                <w:b w:val="0"/>
              </w:rPr>
              <w:t>Title: ____________________________</w:t>
            </w:r>
            <w:r>
              <w:rPr>
                <w:rFonts w:asciiTheme="minorHAnsi" w:hAnsiTheme="minorHAnsi" w:cstheme="minorHAnsi"/>
                <w:b w:val="0"/>
              </w:rPr>
              <w:tab/>
            </w:r>
            <w:r>
              <w:rPr>
                <w:rFonts w:asciiTheme="minorHAnsi" w:hAnsiTheme="minorHAnsi" w:cstheme="minorHAnsi"/>
                <w:b w:val="0"/>
                <w:lang w:eastAsia="zh-CN"/>
              </w:rPr>
              <w:t xml:space="preserve">  </w:t>
            </w:r>
          </w:p>
          <w:p w14:paraId="12B11589" w14:textId="77777777" w:rsidR="0077272D" w:rsidRPr="006F38E6" w:rsidRDefault="0077272D" w:rsidP="0077272D">
            <w:pPr>
              <w:pStyle w:val="Center"/>
              <w:jc w:val="both"/>
              <w:rPr>
                <w:rFonts w:asciiTheme="minorHAnsi" w:hAnsiTheme="minorHAnsi" w:cstheme="minorHAnsi"/>
                <w:b w:val="0"/>
                <w:lang w:eastAsia="zh-CN"/>
              </w:rPr>
            </w:pPr>
            <w:r>
              <w:rPr>
                <w:rFonts w:asciiTheme="minorHAnsi" w:hAnsiTheme="minorHAnsi" w:cstheme="minorHAnsi"/>
                <w:b w:val="0"/>
              </w:rPr>
              <w:t xml:space="preserve">Date: ___________________________  </w:t>
            </w:r>
          </w:p>
          <w:p w14:paraId="2E93E756" w14:textId="77777777" w:rsidR="00737228" w:rsidRPr="006F38E6" w:rsidRDefault="0077272D" w:rsidP="0077272D">
            <w:pPr>
              <w:pStyle w:val="Center"/>
              <w:jc w:val="both"/>
              <w:rPr>
                <w:rFonts w:asciiTheme="minorHAnsi" w:hAnsiTheme="minorHAnsi" w:cstheme="minorHAnsi"/>
                <w:b w:val="0"/>
                <w:lang w:eastAsia="zh-CN"/>
              </w:rPr>
            </w:pPr>
            <w:r>
              <w:rPr>
                <w:rFonts w:asciiTheme="minorHAnsi" w:hAnsiTheme="minorHAnsi" w:cstheme="minorHAnsi"/>
                <w:b w:val="0"/>
              </w:rPr>
              <w:lastRenderedPageBreak/>
              <w:t xml:space="preserve">Seal and Signature: ________________  </w:t>
            </w:r>
            <w:r>
              <w:rPr>
                <w:rFonts w:asciiTheme="minorHAnsi" w:hAnsiTheme="minorHAnsi" w:cstheme="minorHAnsi"/>
                <w:b w:val="0"/>
              </w:rPr>
              <w:tab/>
            </w:r>
          </w:p>
        </w:tc>
      </w:tr>
    </w:tbl>
    <w:p w14:paraId="603D3528" w14:textId="77777777" w:rsidR="009E333E" w:rsidRDefault="009E333E">
      <w:pPr>
        <w:jc w:val="both"/>
        <w:rPr>
          <w:rFonts w:asciiTheme="minorHAnsi" w:hAnsiTheme="minorHAnsi" w:cstheme="minorHAnsi"/>
          <w:szCs w:val="22"/>
        </w:rPr>
      </w:pPr>
    </w:p>
    <w:p>
      <w:pPr>
        <w:pStyle w:val="Heading1"/>
        <w:keepNext/>
        <w:pageBreakBefore/>
        <w:spacing w:before="240" w:after="120"/>
        <w:jc w:val="left"/>
        <w:rPr>
          <w:rFonts w:asciiTheme="minorHAnsi" w:hAnsiTheme="minorHAnsi" w:cstheme="minorHAnsi"/>
          <w:szCs w:val="22"/>
        </w:rPr>
      </w:pPr>
      <w:r>
        <w:rPr>
          <w:rFonts w:asciiTheme="minorHAnsi" w:hAnsiTheme="minorHAnsi" w:cstheme="minorHAnsi"/>
          <w:szCs w:val="22"/>
        </w:rPr>
        <w:t xml:space="preserve">MEMBERS-ONLY CONTENT</w:t>
      </w:r>
    </w:p>
    <w:p>
      <w:pPr>
        <w:spacing w:before="0" w:after="120"/>
        <w:ind w:left="0"/>
        <w:jc w:val="both"/>
        <w:rPr>
          <w:rFonts w:asciiTheme="minorHAnsi" w:hAnsiTheme="minorHAnsi" w:cstheme="minorHAnsi"/>
          <w:szCs w:val="22"/>
        </w:rPr>
      </w:pPr>
      <w:r>
        <w:rPr>
          <w:rFonts w:asciiTheme="minorHAnsi" w:hAnsiTheme="minorHAnsi" w:cstheme="minorHAnsi"/>
          <w:szCs w:val="22"/>
        </w:rPr>
        <w:t xml:space="preserve">The full text of the Appendices, including all technical specifications, test procedures, schedules and data requirements, is available to registered ESCA members.</w:t>
      </w:r>
    </w:p>
    <w:p>
      <w:pPr>
        <w:spacing w:before="0" w:after="120"/>
        <w:ind w:left="0"/>
        <w:jc w:val="both"/>
        <w:rPr>
          <w:rFonts w:asciiTheme="minorHAnsi" w:hAnsiTheme="minorHAnsi" w:cstheme="minorHAnsi"/>
          <w:szCs w:val="22"/>
        </w:rPr>
      </w:pPr>
      <w:r>
        <w:rPr>
          <w:rFonts w:asciiTheme="minorHAnsi" w:hAnsiTheme="minorHAnsi" w:cstheme="minorHAnsi"/>
          <w:szCs w:val="22"/>
        </w:rPr>
        <w:t xml:space="preserve">ESCA membership is available by registration at escabattery.org and is subject to an annual membership fee. Members unlock all appendices, can leave comments and questions on the contract, may reference ESCA alignment in their RFPs and financing documents, and receive future versions as they are released.</w:t>
      </w:r>
    </w:p>
    <w:p>
      <w:pPr>
        <w:spacing w:before="120" w:after="360"/>
        <w:ind w:left="0"/>
        <w:jc w:val="left"/>
        <w:rPr>
          <w:rFonts w:asciiTheme="minorHAnsi" w:hAnsiTheme="minorHAnsi" w:cstheme="minorHAnsi"/>
          <w:szCs w:val="22"/>
        </w:rPr>
      </w:pPr>
      <w:hyperlink r:id="rIdEscaSite">
        <w:r>
          <w:rPr>
            <w:rFonts w:asciiTheme="minorHAnsi" w:hAnsiTheme="minorHAnsi" w:cstheme="minorHAnsi"/>
            <w:b/>
            <w:bCs/>
            <w:color w:val="1F4E79"/>
            <w:szCs w:val="22"/>
            <w:u w:val="single"/>
          </w:rPr>
          <w:t xml:space="preserve">Register at escabattery.org →</w:t>
        </w:r>
      </w:hyperlink>
    </w:p>
    <w:p>
      <w:pPr>
        <w:spacing w:before="240" w:after="120"/>
        <w:ind w:left="0"/>
        <w:jc w:val="left"/>
        <w:rPr>
          <w:rFonts w:asciiTheme="minorHAnsi" w:hAnsiTheme="minorHAnsi" w:cstheme="minorHAnsi"/>
          <w:szCs w:val="22"/>
        </w:rPr>
      </w:pPr>
      <w:r>
        <w:rPr>
          <w:rFonts w:asciiTheme="minorHAnsi" w:hAnsiTheme="minorHAnsi" w:cstheme="minorHAnsi"/>
          <w:b/>
          <w:bCs/>
          <w:szCs w:val="22"/>
        </w:rPr>
        <w:t xml:space="preserve">The Agreement contains the following Appendices (members-only):</w:t>
      </w:r>
    </w:p>
    <w:p w14:paraId="272D1EEB" w14:textId="77777777" w:rsidR="009E333E" w:rsidRDefault="00000000">
      <w:pPr>
        <w:pStyle w:val="Heading1"/>
        <w:spacing w:after="60" w:before="60"/>
        <w:jc w:val="left"/>
        <w:rPr>
          <w:rFonts w:asciiTheme="minorHAnsi" w:hAnsiTheme="minorHAnsi" w:cstheme="minorHAnsi"/>
          <w:szCs w:val="22"/>
        </w:rPr>
      </w:pPr>
      <w:bookmarkStart w:id="24" w:name="_Toc242471413"/>
      <w:r>
        <w:rPr>
          <w:rFonts w:asciiTheme="minorHAnsi" w:hAnsiTheme="minorHAnsi" w:cstheme="minorHAnsi"/>
          <w:szCs w:val="22"/>
          <w:highlight w:val="cyan"/>
        </w:rPr>
        <w:t>APPENDIX A</w:t>
      </w:r>
      <w:r>
        <w:rPr>
          <w:rFonts w:asciiTheme="minorHAnsi" w:hAnsiTheme="minorHAnsi" w:cstheme="minorHAnsi"/>
          <w:szCs w:val="22"/>
        </w:rPr>
        <w:t xml:space="preserve"> – PURCHASE ORDER</w:t>
      </w:r>
      <w:bookmarkEnd w:id="24"/>
    </w:p>
    <w:p w14:paraId="7BB79711" w14:textId="77777777" w:rsidR="009E333E" w:rsidRDefault="00000000">
      <w:pPr>
        <w:pStyle w:val="Heading1"/>
        <w:spacing w:after="60" w:before="60"/>
        <w:jc w:val="left"/>
        <w:rPr>
          <w:rFonts w:asciiTheme="minorHAnsi" w:hAnsiTheme="minorHAnsi" w:cstheme="minorHAnsi"/>
          <w:szCs w:val="22"/>
        </w:rPr>
      </w:pPr>
      <w:bookmarkStart w:id="25" w:name="_Toc242471414"/>
      <w:r>
        <w:rPr>
          <w:rFonts w:asciiTheme="minorHAnsi" w:hAnsiTheme="minorHAnsi" w:cstheme="minorHAnsi"/>
          <w:szCs w:val="22"/>
          <w:highlight w:val="cyan"/>
        </w:rPr>
        <w:t>APPENDIX B</w:t>
      </w:r>
      <w:r>
        <w:rPr>
          <w:rFonts w:asciiTheme="minorHAnsi" w:hAnsiTheme="minorHAnsi" w:cstheme="minorHAnsi"/>
          <w:szCs w:val="22"/>
        </w:rPr>
        <w:t xml:space="preserve"> – BESS TECHNICAL SPECIFICATIONS</w:t>
      </w:r>
      <w:bookmarkEnd w:id="25"/>
    </w:p>
    <w:p w14:paraId="3DAD249B" w14:textId="77777777" w:rsidR="009E333E" w:rsidRDefault="00000000">
      <w:pPr>
        <w:pStyle w:val="Heading1"/>
        <w:spacing w:after="60" w:before="60"/>
        <w:jc w:val="left"/>
        <w:rPr>
          <w:rFonts w:asciiTheme="minorHAnsi" w:hAnsiTheme="minorHAnsi" w:cstheme="minorHAnsi"/>
          <w:szCs w:val="22"/>
        </w:rPr>
      </w:pPr>
      <w:bookmarkStart w:id="26" w:name="_Toc242471415"/>
      <w:r>
        <w:rPr>
          <w:rFonts w:asciiTheme="minorHAnsi" w:hAnsiTheme="minorHAnsi" w:cstheme="minorHAnsi"/>
          <w:szCs w:val="22"/>
          <w:highlight w:val="cyan"/>
        </w:rPr>
        <w:t>APPENDIX C</w:t>
      </w:r>
      <w:r>
        <w:rPr>
          <w:rFonts w:asciiTheme="minorHAnsi" w:hAnsiTheme="minorHAnsi" w:cstheme="minorHAnsi"/>
          <w:szCs w:val="22"/>
        </w:rPr>
        <w:t xml:space="preserve"> – BATTERY RACK TECHNICAL SPECIFICATIONS</w:t>
      </w:r>
      <w:bookmarkEnd w:id="26"/>
    </w:p>
    <w:p w14:paraId="2A1F3ED4" w14:textId="77777777" w:rsidR="009E333E" w:rsidRDefault="00000000">
      <w:pPr>
        <w:pStyle w:val="Heading1"/>
        <w:spacing w:after="60" w:before="60"/>
        <w:jc w:val="left"/>
        <w:rPr>
          <w:rFonts w:asciiTheme="minorHAnsi" w:hAnsiTheme="minorHAnsi" w:cstheme="minorHAnsi"/>
          <w:szCs w:val="22"/>
        </w:rPr>
      </w:pPr>
      <w:bookmarkStart w:id="27" w:name="_Toc242471416"/>
      <w:r>
        <w:rPr>
          <w:rFonts w:asciiTheme="minorHAnsi" w:hAnsiTheme="minorHAnsi" w:cstheme="minorHAnsi"/>
          <w:szCs w:val="22"/>
          <w:highlight w:val="cyan"/>
        </w:rPr>
        <w:t>APPENDIX D</w:t>
      </w:r>
      <w:r>
        <w:rPr>
          <w:rFonts w:asciiTheme="minorHAnsi" w:hAnsiTheme="minorHAnsi" w:cstheme="minorHAnsi"/>
          <w:szCs w:val="22"/>
        </w:rPr>
        <w:t xml:space="preserve"> – BATTERY PACK TECHNICAL SPECIFICATIONS</w:t>
      </w:r>
      <w:bookmarkEnd w:id="27"/>
    </w:p>
    <w:p w14:paraId="3DC553D4" w14:textId="77777777" w:rsidR="009E333E" w:rsidRDefault="00000000">
      <w:pPr>
        <w:pStyle w:val="Heading1"/>
        <w:spacing w:after="60" w:before="60"/>
        <w:jc w:val="left"/>
        <w:rPr>
          <w:rFonts w:asciiTheme="minorHAnsi" w:hAnsiTheme="minorHAnsi" w:cstheme="minorHAnsi"/>
          <w:szCs w:val="22"/>
        </w:rPr>
      </w:pPr>
      <w:bookmarkStart w:id="28" w:name="_Toc242471417"/>
      <w:r>
        <w:rPr>
          <w:rFonts w:asciiTheme="minorHAnsi" w:hAnsiTheme="minorHAnsi" w:cstheme="minorHAnsi"/>
          <w:szCs w:val="22"/>
          <w:highlight w:val="cyan"/>
        </w:rPr>
        <w:t>APPENDIX E</w:t>
      </w:r>
      <w:r>
        <w:rPr>
          <w:rFonts w:asciiTheme="minorHAnsi" w:hAnsiTheme="minorHAnsi" w:cstheme="minorHAnsi"/>
          <w:szCs w:val="22"/>
        </w:rPr>
        <w:t xml:space="preserve"> – BATTERY CELL TECHNICAL SPECIFICATIONS (DESIGNATED CELL)</w:t>
      </w:r>
      <w:bookmarkEnd w:id="28"/>
    </w:p>
    <w:p w14:paraId="41FF4EB4" w14:textId="77777777" w:rsidR="009E333E" w:rsidRDefault="00000000">
      <w:pPr>
        <w:pStyle w:val="Heading1"/>
        <w:spacing w:after="60" w:before="60"/>
        <w:jc w:val="left"/>
        <w:rPr>
          <w:rFonts w:asciiTheme="minorHAnsi" w:hAnsiTheme="minorHAnsi" w:cstheme="minorHAnsi"/>
          <w:szCs w:val="22"/>
        </w:rPr>
      </w:pPr>
      <w:bookmarkStart w:id="29" w:name="_Toc242471418"/>
      <w:r>
        <w:rPr>
          <w:rFonts w:asciiTheme="minorHAnsi" w:hAnsiTheme="minorHAnsi" w:cstheme="minorHAnsi"/>
          <w:szCs w:val="22"/>
          <w:highlight w:val="cyan"/>
        </w:rPr>
        <w:t>APPENDIX F</w:t>
      </w:r>
      <w:r>
        <w:rPr>
          <w:rFonts w:asciiTheme="minorHAnsi" w:hAnsiTheme="minorHAnsi" w:cstheme="minorHAnsi"/>
          <w:szCs w:val="22"/>
        </w:rPr>
        <w:t xml:space="preserve"> – FACTORY ACCEPTANCE TESTING (INSPECTION)</w:t>
      </w:r>
      <w:bookmarkEnd w:id="29"/>
    </w:p>
    <w:p w14:paraId="24216B62" w14:textId="77777777" w:rsidR="009E333E" w:rsidRDefault="00000000">
      <w:pPr>
        <w:pStyle w:val="Heading1"/>
        <w:spacing w:after="60" w:before="60"/>
        <w:jc w:val="left"/>
        <w:rPr>
          <w:rFonts w:asciiTheme="minorHAnsi" w:hAnsiTheme="minorHAnsi" w:cstheme="minorHAnsi"/>
          <w:szCs w:val="22"/>
        </w:rPr>
      </w:pPr>
      <w:bookmarkStart w:id="30" w:name="_Toc242471419"/>
      <w:r>
        <w:rPr>
          <w:rFonts w:asciiTheme="minorHAnsi" w:hAnsiTheme="minorHAnsi" w:cstheme="minorHAnsi"/>
          <w:szCs w:val="22"/>
          <w:highlight w:val="cyan"/>
        </w:rPr>
        <w:t>APPENDIX G</w:t>
      </w:r>
      <w:r>
        <w:rPr>
          <w:rFonts w:asciiTheme="minorHAnsi" w:hAnsiTheme="minorHAnsi" w:cstheme="minorHAnsi"/>
          <w:szCs w:val="22"/>
        </w:rPr>
        <w:t xml:space="preserve"> – BESS WARRANTY</w:t>
      </w:r>
      <w:bookmarkEnd w:id="30"/>
    </w:p>
    <w:p w14:paraId="028F1DD6" w14:textId="77777777" w:rsidR="009E333E" w:rsidRDefault="00000000">
      <w:pPr>
        <w:pStyle w:val="Heading1"/>
        <w:spacing w:after="60" w:before="60"/>
        <w:jc w:val="left"/>
        <w:rPr>
          <w:rFonts w:asciiTheme="minorHAnsi" w:hAnsiTheme="minorHAnsi" w:cstheme="minorHAnsi"/>
          <w:szCs w:val="22"/>
        </w:rPr>
      </w:pPr>
      <w:bookmarkStart w:id="31" w:name="_Toc242471420"/>
      <w:r>
        <w:rPr>
          <w:rFonts w:asciiTheme="minorHAnsi" w:hAnsiTheme="minorHAnsi" w:cstheme="minorHAnsi"/>
          <w:szCs w:val="22"/>
          <w:highlight w:val="cyan"/>
        </w:rPr>
        <w:t>APPENDIX H</w:t>
      </w:r>
      <w:r>
        <w:rPr>
          <w:rFonts w:asciiTheme="minorHAnsi" w:hAnsiTheme="minorHAnsi" w:cstheme="minorHAnsi"/>
          <w:szCs w:val="22"/>
        </w:rPr>
        <w:t xml:space="preserve"> – BESS QUALITY STANDARDS</w:t>
      </w:r>
      <w:bookmarkEnd w:id="31"/>
    </w:p>
    <w:p w14:paraId="1FA76D62" w14:textId="77777777" w:rsidR="009E333E" w:rsidRDefault="00000000">
      <w:pPr>
        <w:pStyle w:val="Heading1"/>
        <w:spacing w:after="60" w:before="60"/>
        <w:jc w:val="left"/>
        <w:rPr>
          <w:rFonts w:asciiTheme="minorHAnsi" w:hAnsiTheme="minorHAnsi" w:cstheme="minorHAnsi"/>
          <w:szCs w:val="22"/>
        </w:rPr>
      </w:pPr>
      <w:bookmarkStart w:id="32" w:name="_Toc242471421"/>
      <w:r>
        <w:rPr>
          <w:rFonts w:asciiTheme="minorHAnsi" w:hAnsiTheme="minorHAnsi" w:cstheme="minorHAnsi"/>
          <w:szCs w:val="22"/>
          <w:highlight w:val="cyan"/>
        </w:rPr>
        <w:t>APPENDIX I</w:t>
      </w:r>
      <w:r>
        <w:rPr>
          <w:rFonts w:asciiTheme="minorHAnsi" w:hAnsiTheme="minorHAnsi" w:cstheme="minorHAnsi"/>
          <w:szCs w:val="22"/>
        </w:rPr>
        <w:t xml:space="preserve"> – DELIVERY SCHEDULE</w:t>
      </w:r>
      <w:bookmarkEnd w:id="32"/>
    </w:p>
    <w:p w14:paraId="4EBEF022" w14:textId="77777777" w:rsidR="009E333E" w:rsidRDefault="00000000">
      <w:pPr>
        <w:pStyle w:val="Heading1"/>
        <w:spacing w:after="60" w:before="60"/>
        <w:jc w:val="left"/>
        <w:rPr>
          <w:rFonts w:asciiTheme="minorHAnsi" w:hAnsiTheme="minorHAnsi" w:cstheme="minorHAnsi"/>
          <w:szCs w:val="22"/>
        </w:rPr>
      </w:pPr>
      <w:bookmarkStart w:id="33" w:name="_Toc242471422"/>
      <w:r>
        <w:rPr>
          <w:rFonts w:asciiTheme="minorHAnsi" w:hAnsiTheme="minorHAnsi" w:cstheme="minorHAnsi"/>
          <w:szCs w:val="22"/>
          <w:highlight w:val="cyan"/>
        </w:rPr>
        <w:t>APPENDIX J</w:t>
      </w:r>
      <w:r>
        <w:rPr>
          <w:rFonts w:asciiTheme="minorHAnsi" w:hAnsiTheme="minorHAnsi" w:cstheme="minorHAnsi"/>
          <w:szCs w:val="22"/>
        </w:rPr>
        <w:t xml:space="preserve"> – SITE ACCEPTANCE TESTING</w:t>
      </w:r>
      <w:bookmarkEnd w:id="33"/>
    </w:p>
    <w:p w14:paraId="22780546" w14:textId="77777777" w:rsidR="009E333E" w:rsidRDefault="00000000">
      <w:pPr>
        <w:pStyle w:val="Heading1"/>
        <w:spacing w:after="60" w:before="60"/>
        <w:jc w:val="left"/>
        <w:rPr>
          <w:rFonts w:asciiTheme="minorHAnsi" w:hAnsiTheme="minorHAnsi" w:cstheme="minorHAnsi"/>
          <w:szCs w:val="22"/>
        </w:rPr>
      </w:pPr>
      <w:bookmarkStart w:id="34" w:name="_Toc242471423"/>
      <w:r>
        <w:rPr>
          <w:rFonts w:asciiTheme="minorHAnsi" w:hAnsiTheme="minorHAnsi" w:cstheme="minorHAnsi"/>
          <w:szCs w:val="22"/>
          <w:highlight w:val="cyan"/>
        </w:rPr>
        <w:t>APPENDIX K</w:t>
      </w:r>
      <w:r>
        <w:rPr>
          <w:rFonts w:asciiTheme="minorHAnsi" w:hAnsiTheme="minorHAnsi" w:cstheme="minorHAnsi"/>
          <w:szCs w:val="22"/>
        </w:rPr>
        <w:t xml:space="preserve"> – PAYMENT SCHEDULE</w:t>
      </w:r>
      <w:bookmarkEnd w:id="34"/>
    </w:p>
    <w:p w14:paraId="77A52C70" w14:textId="77777777" w:rsidR="009E333E" w:rsidRDefault="00000000">
      <w:pPr>
        <w:pStyle w:val="Heading1"/>
        <w:spacing w:after="60" w:before="60"/>
        <w:jc w:val="left"/>
        <w:rPr>
          <w:rFonts w:asciiTheme="minorHAnsi" w:hAnsiTheme="minorHAnsi" w:cstheme="minorHAnsi"/>
          <w:szCs w:val="22"/>
        </w:rPr>
      </w:pPr>
      <w:bookmarkStart w:id="35" w:name="_Toc242471424"/>
      <w:r>
        <w:rPr>
          <w:rFonts w:asciiTheme="minorHAnsi" w:hAnsiTheme="minorHAnsi" w:cstheme="minorHAnsi"/>
          <w:szCs w:val="22"/>
          <w:highlight w:val="cyan"/>
        </w:rPr>
        <w:t>APPENDIX L</w:t>
      </w:r>
      <w:r>
        <w:rPr>
          <w:rFonts w:asciiTheme="minorHAnsi" w:hAnsiTheme="minorHAnsi" w:cstheme="minorHAnsi"/>
          <w:szCs w:val="22"/>
        </w:rPr>
        <w:t xml:space="preserve"> – DATA MONITORING</w:t>
      </w:r>
      <w:bookmarkEnd w:id="35"/>
    </w:p>
    <w:p w14:paraId="2A14D2C8" w14:textId="77777777" w:rsidR="009E333E" w:rsidRDefault="00000000">
      <w:pPr>
        <w:pStyle w:val="Heading1"/>
        <w:spacing w:after="60" w:before="60"/>
        <w:jc w:val="left"/>
        <w:rPr>
          <w:rFonts w:asciiTheme="minorHAnsi" w:hAnsiTheme="minorHAnsi" w:cstheme="minorHAnsi"/>
          <w:szCs w:val="22"/>
        </w:rPr>
      </w:pPr>
      <w:bookmarkStart w:id="36" w:name="_Toc242471425"/>
      <w:r>
        <w:rPr>
          <w:rFonts w:asciiTheme="minorHAnsi" w:hAnsiTheme="minorHAnsi" w:cstheme="minorHAnsi"/>
          <w:szCs w:val="22"/>
          <w:highlight w:val="cyan"/>
        </w:rPr>
        <w:t>APPENDIX M</w:t>
      </w:r>
      <w:r>
        <w:rPr>
          <w:rFonts w:asciiTheme="minorHAnsi" w:hAnsiTheme="minorHAnsi" w:cstheme="minorHAnsi"/>
          <w:szCs w:val="22"/>
        </w:rPr>
        <w:t xml:space="preserve"> – BATTERY ANALYTICS SOLUTIONS QUALITY CONTROL PROCESS</w:t>
      </w:r>
      <w:bookmarkEnd w:id="36"/>
    </w:p>
    <w:p w14:paraId="5A3F08A7" w14:textId="77777777" w:rsidR="009E333E" w:rsidRDefault="00000000">
      <w:pPr>
        <w:pStyle w:val="Heading1"/>
        <w:spacing w:after="60" w:before="60"/>
        <w:jc w:val="left"/>
        <w:rPr>
          <w:rFonts w:asciiTheme="minorHAnsi" w:hAnsiTheme="minorHAnsi" w:cstheme="minorHAnsi"/>
          <w:szCs w:val="22"/>
        </w:rPr>
      </w:pPr>
      <w:bookmarkStart w:id="37" w:name="_Toc242471426"/>
      <w:r>
        <w:rPr>
          <w:rFonts w:asciiTheme="minorHAnsi" w:hAnsiTheme="minorHAnsi" w:cstheme="minorHAnsi"/>
          <w:szCs w:val="22"/>
          <w:highlight w:val="cyan"/>
        </w:rPr>
        <w:t>APPENDIX N</w:t>
      </w:r>
      <w:r>
        <w:rPr>
          <w:rFonts w:asciiTheme="minorHAnsi" w:hAnsiTheme="minorHAnsi" w:cstheme="minorHAnsi"/>
          <w:szCs w:val="22"/>
        </w:rPr>
        <w:t xml:space="preserve"> – BESS CALIBRATION AND MAINTENANCE PROTOCOLS</w:t>
      </w:r>
      <w:bookmarkEnd w:id="37"/>
    </w:p>
    <w:p w14:paraId="12C594EE" w14:textId="77777777" w:rsidR="009E333E" w:rsidRDefault="00000000">
      <w:pPr>
        <w:pStyle w:val="Heading1"/>
        <w:spacing w:after="60" w:before="60"/>
        <w:jc w:val="left"/>
        <w:rPr>
          <w:rFonts w:asciiTheme="minorHAnsi" w:hAnsiTheme="minorHAnsi" w:cstheme="minorHAnsi"/>
          <w:szCs w:val="22"/>
        </w:rPr>
      </w:pPr>
      <w:bookmarkStart w:id="38" w:name="_Toc242471427"/>
      <w:r>
        <w:rPr>
          <w:rFonts w:asciiTheme="minorHAnsi" w:hAnsiTheme="minorHAnsi" w:cstheme="minorHAnsi"/>
          <w:szCs w:val="22"/>
          <w:highlight w:val="cyan"/>
        </w:rPr>
        <w:t>APPENDIX O</w:t>
      </w:r>
      <w:r>
        <w:rPr>
          <w:rFonts w:asciiTheme="minorHAnsi" w:hAnsiTheme="minorHAnsi" w:cstheme="minorHAnsi"/>
          <w:szCs w:val="22"/>
        </w:rPr>
        <w:t xml:space="preserve"> – BATTERY CELL LABORATORY TESTING</w:t>
      </w:r>
      <w:bookmarkEnd w:id="38"/>
    </w:p>
    <w:p w14:paraId="3641E8A4" w14:textId="77777777" w:rsidR="009E333E" w:rsidRDefault="00000000">
      <w:pPr>
        <w:pStyle w:val="Heading1"/>
        <w:spacing w:after="60" w:before="60"/>
        <w:jc w:val="left"/>
        <w:rPr>
          <w:rFonts w:asciiTheme="minorHAnsi" w:hAnsiTheme="minorHAnsi" w:cstheme="minorHAnsi"/>
          <w:szCs w:val="22"/>
        </w:rPr>
      </w:pPr>
      <w:bookmarkStart w:id="39" w:name="_Toc242471428"/>
      <w:r>
        <w:rPr>
          <w:rFonts w:asciiTheme="minorHAnsi" w:hAnsiTheme="minorHAnsi" w:cstheme="minorHAnsi"/>
          <w:szCs w:val="22"/>
          <w:highlight w:val="cyan"/>
        </w:rPr>
        <w:t>APPENDIX P</w:t>
      </w:r>
      <w:r>
        <w:rPr>
          <w:rFonts w:asciiTheme="minorHAnsi" w:hAnsiTheme="minorHAnsi" w:cstheme="minorHAnsi"/>
          <w:szCs w:val="22"/>
        </w:rPr>
        <w:t xml:space="preserve"> – SUPPORT, SERVICE LEVELS AND SPARE PARTS</w:t>
      </w:r>
      <w:bookmarkEnd w:id="39"/>
    </w:p>
    <w:p w14:paraId="4DB45A4D" w14:textId="038A68A9" w:rsidR="009E333E" w:rsidRDefault="00000000">
      <w:pPr>
        <w:pStyle w:val="Heading1"/>
        <w:spacing w:after="60" w:before="60"/>
        <w:jc w:val="left"/>
        <w:rPr>
          <w:rFonts w:asciiTheme="minorHAnsi" w:hAnsiTheme="minorHAnsi" w:cstheme="minorHAnsi"/>
          <w:szCs w:val="22"/>
        </w:rPr>
      </w:pPr>
      <w:bookmarkStart w:id="40" w:name="_Toc242471429"/>
      <w:r>
        <w:rPr>
          <w:rFonts w:asciiTheme="minorHAnsi" w:hAnsiTheme="minorHAnsi" w:cstheme="minorHAnsi"/>
          <w:szCs w:val="22"/>
          <w:highlight w:val="cyan"/>
        </w:rPr>
        <w:t>APPENDIX Q</w:t>
      </w:r>
      <w:r>
        <w:rPr>
          <w:rFonts w:asciiTheme="minorHAnsi" w:hAnsiTheme="minorHAnsi" w:cstheme="minorHAnsi"/>
          <w:szCs w:val="22"/>
        </w:rPr>
        <w:t xml:space="preserve"> – AGREED FORM OF PARENT COMPANY GUARANTEE (TO BE ATTACHED)</w:t>
      </w:r>
      <w:bookmarkEnd w:id="40"/>
    </w:p>
    <w:p w14:paraId="5FDDC8B5" w14:textId="77777777" w:rsidR="009E333E" w:rsidRDefault="00000000">
      <w:pPr>
        <w:pStyle w:val="Heading1"/>
        <w:spacing w:after="60" w:before="60"/>
        <w:jc w:val="left"/>
        <w:rPr>
          <w:rFonts w:asciiTheme="minorHAnsi" w:hAnsiTheme="minorHAnsi" w:cstheme="minorHAnsi"/>
          <w:szCs w:val="22"/>
        </w:rPr>
      </w:pPr>
      <w:bookmarkStart w:id="41" w:name="_Toc242471430"/>
      <w:r>
        <w:rPr>
          <w:rFonts w:asciiTheme="minorHAnsi" w:hAnsiTheme="minorHAnsi" w:cstheme="minorHAnsi"/>
          <w:szCs w:val="22"/>
          <w:highlight w:val="cyan"/>
        </w:rPr>
        <w:t>APPENDIX R</w:t>
      </w:r>
      <w:r>
        <w:rPr>
          <w:rFonts w:asciiTheme="minorHAnsi" w:hAnsiTheme="minorHAnsi" w:cstheme="minorHAnsi"/>
          <w:szCs w:val="22"/>
        </w:rPr>
        <w:t xml:space="preserve"> – CRITICAL COMPONENT LIST AND MANUFACTURING LOCATIONS</w:t>
      </w:r>
      <w:bookmarkEnd w:id="41"/>
    </w:p>
    <w:p w14:paraId="2515FA09" w14:textId="77777777" w:rsidR="009E333E" w:rsidRDefault="00000000">
      <w:pPr>
        <w:pStyle w:val="Heading1"/>
        <w:spacing w:after="60" w:before="60"/>
        <w:jc w:val="left"/>
        <w:rPr>
          <w:rFonts w:asciiTheme="minorHAnsi" w:hAnsiTheme="minorHAnsi" w:cstheme="minorHAnsi"/>
          <w:szCs w:val="22"/>
        </w:rPr>
      </w:pPr>
      <w:bookmarkStart w:id="42" w:name="_Toc242471431"/>
      <w:r>
        <w:rPr>
          <w:rFonts w:asciiTheme="minorHAnsi" w:hAnsiTheme="minorHAnsi" w:cstheme="minorHAnsi"/>
          <w:szCs w:val="22"/>
          <w:highlight w:val="cyan"/>
        </w:rPr>
        <w:t>APPENDIX S</w:t>
      </w:r>
      <w:r>
        <w:rPr>
          <w:rFonts w:asciiTheme="minorHAnsi" w:hAnsiTheme="minorHAnsi" w:cstheme="minorHAnsi"/>
          <w:szCs w:val="22"/>
        </w:rPr>
        <w:t xml:space="preserve"> – DESIGN AND DOCUMENTATION DELIVERABLES</w:t>
      </w:r>
      <w:bookmarkEnd w:id="42"/>
    </w:p>
    <w:p w14:paraId="32007FC3" w14:textId="77777777" w:rsidR="009E333E" w:rsidRDefault="00000000">
      <w:pPr>
        <w:pStyle w:val="Heading1"/>
        <w:spacing w:after="60" w:before="60"/>
        <w:jc w:val="left"/>
        <w:rPr>
          <w:rFonts w:asciiTheme="minorHAnsi" w:hAnsiTheme="minorHAnsi" w:cstheme="minorHAnsi"/>
          <w:szCs w:val="22"/>
        </w:rPr>
      </w:pPr>
      <w:bookmarkStart w:id="43" w:name="_Toc242471432"/>
      <w:r>
        <w:rPr>
          <w:rFonts w:asciiTheme="minorHAnsi" w:hAnsiTheme="minorHAnsi" w:cstheme="minorHAnsi"/>
          <w:szCs w:val="22"/>
          <w:highlight w:val="cyan"/>
        </w:rPr>
        <w:t>APPENDIX T</w:t>
      </w:r>
      <w:r>
        <w:rPr>
          <w:rFonts w:asciiTheme="minorHAnsi" w:hAnsiTheme="minorHAnsi" w:cstheme="minorHAnsi"/>
          <w:szCs w:val="22"/>
        </w:rPr>
        <w:t xml:space="preserve"> – SUPPLIER CODE OF CONDUCT</w:t>
      </w:r>
      <w:bookmarkEnd w:id="43"/>
    </w:p>
    <w:p w14:paraId="170EBF3C" w14:textId="77777777" w:rsidR="009E333E" w:rsidRDefault="00000000">
      <w:pPr>
        <w:pStyle w:val="Heading1"/>
        <w:spacing w:after="60" w:before="60"/>
        <w:jc w:val="left"/>
        <w:rPr>
          <w:rFonts w:asciiTheme="minorHAnsi" w:hAnsiTheme="minorHAnsi" w:cstheme="minorHAnsi"/>
          <w:szCs w:val="22"/>
        </w:rPr>
      </w:pPr>
      <w:bookmarkStart w:id="44" w:name="_Toc242471433"/>
      <w:r>
        <w:rPr>
          <w:rFonts w:asciiTheme="minorHAnsi" w:hAnsiTheme="minorHAnsi" w:cstheme="minorHAnsi"/>
          <w:szCs w:val="22"/>
          <w:highlight w:val="cyan"/>
        </w:rPr>
        <w:t>APPENDIX U</w:t>
      </w:r>
      <w:r>
        <w:rPr>
          <w:rFonts w:asciiTheme="minorHAnsi" w:hAnsiTheme="minorHAnsi" w:cstheme="minorHAnsi"/>
          <w:szCs w:val="22"/>
        </w:rPr>
        <w:t xml:space="preserve"> – PACKING, TRANSPORT AND STORAGE</w:t>
      </w:r>
      <w:bookmarkEnd w:id="44"/>
    </w:p>
    <w:p w14:paraId="2B4D637A" w14:textId="77777777" w:rsidR="009E333E" w:rsidRDefault="00000000">
      <w:pPr>
        <w:pStyle w:val="Heading1"/>
        <w:spacing w:after="60" w:before="60"/>
        <w:jc w:val="left"/>
        <w:rPr>
          <w:rFonts w:asciiTheme="minorHAnsi" w:hAnsiTheme="minorHAnsi" w:cstheme="minorHAnsi"/>
          <w:szCs w:val="22"/>
        </w:rPr>
      </w:pPr>
      <w:bookmarkStart w:id="45" w:name="_Toc242471434"/>
      <w:r>
        <w:rPr>
          <w:rFonts w:asciiTheme="minorHAnsi" w:hAnsiTheme="minorHAnsi" w:cstheme="minorHAnsi"/>
          <w:szCs w:val="22"/>
          <w:highlight w:val="cyan"/>
        </w:rPr>
        <w:t>APPENDIX V</w:t>
      </w:r>
      <w:r>
        <w:rPr>
          <w:rFonts w:asciiTheme="minorHAnsi" w:hAnsiTheme="minorHAnsi" w:cstheme="minorHAnsi"/>
          <w:szCs w:val="22"/>
        </w:rPr>
        <w:t xml:space="preserve"> – CYBERSECURITY REQUIREMENTS</w:t>
      </w:r>
      <w:bookmarkEnd w:id="45"/>
    </w:p>
    <w:p w14:paraId="4532C8D9" w14:textId="77777777" w:rsidR="009E333E" w:rsidRDefault="00000000">
      <w:pPr>
        <w:pStyle w:val="Heading1"/>
        <w:spacing w:after="60" w:before="60"/>
        <w:jc w:val="left"/>
        <w:rPr>
          <w:rFonts w:asciiTheme="minorHAnsi" w:hAnsiTheme="minorHAnsi" w:cstheme="minorHAnsi"/>
          <w:szCs w:val="22"/>
        </w:rPr>
      </w:pPr>
      <w:bookmarkStart w:id="46" w:name="_Toc242471435"/>
      <w:r>
        <w:rPr>
          <w:rFonts w:asciiTheme="minorHAnsi" w:hAnsiTheme="minorHAnsi" w:cstheme="minorHAnsi"/>
          <w:szCs w:val="22"/>
          <w:highlight w:val="cyan"/>
        </w:rPr>
        <w:t>APPENDIX W</w:t>
      </w:r>
      <w:r>
        <w:rPr>
          <w:rFonts w:asciiTheme="minorHAnsi" w:hAnsiTheme="minorHAnsi" w:cstheme="minorHAnsi"/>
          <w:szCs w:val="22"/>
        </w:rPr>
        <w:t xml:space="preserve"> – PRODUCT SAFETY AND REGULATORY COMPLIANCE</w:t>
      </w:r>
      <w:bookmarkEnd w:id="46"/>
    </w:p>
    <w:sectPr w:rsidR="009E333E" w:rsidSect="004A027E">
      <w:pgSz w:w="12240" w:h="15840"/>
      <w:pgMar w:top="1440" w:right="1440" w:bottom="1440" w:left="1440" w:header="720" w:footer="720" w:gutter="0"/>
      <w:cols w:space="720"/>
      <w:docGrid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A434B92" w14:textId="77777777" w:rsidR="00C86CA0" w:rsidRDefault="00C86CA0">
      <w:r>
        <w:separator/>
      </w:r>
    </w:p>
  </w:endnote>
  <w:endnote w:type="continuationSeparator" w:id="0">
    <w:p w14:paraId="6FA5C988" w14:textId="77777777" w:rsidR="00C86CA0" w:rsidRDefault="00C86CA0">
      <w:r>
        <w:continuationSeparator/>
      </w:r>
    </w:p>
  </w:endnote>
  <w:endnote w:type="continuationNotice" w:id="1">
    <w:p w14:paraId="6BC7F3A1" w14:textId="77777777" w:rsidR="00C86CA0" w:rsidRDefault="00C86CA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New Roman Bold">
    <w:altName w:val="Times New Roman"/>
    <w:panose1 w:val="020B0604020202020204"/>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59F3BCA" w14:textId="77777777" w:rsidR="00C86CA0" w:rsidRDefault="00C86CA0">
      <w:r>
        <w:separator/>
      </w:r>
    </w:p>
  </w:footnote>
  <w:footnote w:type="continuationSeparator" w:id="0">
    <w:p w14:paraId="501019E2" w14:textId="77777777" w:rsidR="00C86CA0" w:rsidRDefault="00C86CA0">
      <w:r>
        <w:continuationSeparator/>
      </w:r>
    </w:p>
  </w:footnote>
  <w:footnote w:type="continuationNotice" w:id="1">
    <w:p w14:paraId="4F0D5B00" w14:textId="77777777" w:rsidR="00C86CA0" w:rsidRDefault="00C86CA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8"/>
    <w:multiLevelType w:val="singleLevel"/>
    <w:tmpl w:val="A6547B86"/>
    <w:lvl w:ilvl="0">
      <w:start w:val="1"/>
      <w:numFmt w:val="upperLetter"/>
      <w:pStyle w:val="ListNumber"/>
      <w:lvlText w:val="%1."/>
      <w:lvlJc w:val="left"/>
      <w:pPr>
        <w:tabs>
          <w:tab w:val="num" w:pos="11250"/>
        </w:tabs>
        <w:ind w:left="9810" w:firstLine="720"/>
      </w:pPr>
      <w:rPr>
        <w:rFonts w:hint="default"/>
      </w:rPr>
    </w:lvl>
  </w:abstractNum>
  <w:abstractNum w:abstractNumId="1" w15:restartNumberingAfterBreak="0">
    <w:nsid w:val="0B2F3DEE"/>
    <w:multiLevelType w:val="hybridMultilevel"/>
    <w:tmpl w:val="3670EEC0"/>
    <w:lvl w:ilvl="0" w:tplc="8F9A7432">
      <w:start w:val="2"/>
      <w:numFmt w:val="bullet"/>
      <w:lvlText w:val="-"/>
      <w:lvlJc w:val="left"/>
      <w:pPr>
        <w:ind w:left="1080" w:hanging="360"/>
      </w:pPr>
      <w:rPr>
        <w:rFonts w:ascii="Times New Roman" w:eastAsiaTheme="minorEastAsia" w:hAnsi="Times New Roman" w:cs="Times New Roman" w:hint="default"/>
        <w:b/>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C559450"/>
    <w:multiLevelType w:val="hybridMultilevel"/>
    <w:tmpl w:val="7876B9CC"/>
    <w:lvl w:ilvl="0" w:tplc="497A409C">
      <w:start w:val="1"/>
      <w:numFmt w:val="bullet"/>
      <w:lvlText w:val=""/>
      <w:lvlJc w:val="left"/>
      <w:pPr>
        <w:ind w:left="720" w:hanging="360"/>
      </w:pPr>
      <w:rPr>
        <w:rFonts w:ascii="Symbol" w:hAnsi="Symbol" w:hint="default"/>
      </w:rPr>
    </w:lvl>
    <w:lvl w:ilvl="1" w:tplc="32740002">
      <w:start w:val="1"/>
      <w:numFmt w:val="bullet"/>
      <w:lvlText w:val="o"/>
      <w:lvlJc w:val="left"/>
      <w:pPr>
        <w:ind w:left="1440" w:hanging="360"/>
      </w:pPr>
      <w:rPr>
        <w:rFonts w:ascii="Courier New" w:hAnsi="Courier New" w:hint="default"/>
      </w:rPr>
    </w:lvl>
    <w:lvl w:ilvl="2" w:tplc="AC8276AE">
      <w:start w:val="1"/>
      <w:numFmt w:val="bullet"/>
      <w:lvlText w:val=""/>
      <w:lvlJc w:val="left"/>
      <w:pPr>
        <w:ind w:left="2160" w:hanging="360"/>
      </w:pPr>
      <w:rPr>
        <w:rFonts w:ascii="Wingdings" w:hAnsi="Wingdings" w:hint="default"/>
      </w:rPr>
    </w:lvl>
    <w:lvl w:ilvl="3" w:tplc="92ECCDE0">
      <w:start w:val="1"/>
      <w:numFmt w:val="bullet"/>
      <w:lvlText w:val=""/>
      <w:lvlJc w:val="left"/>
      <w:pPr>
        <w:ind w:left="2880" w:hanging="360"/>
      </w:pPr>
      <w:rPr>
        <w:rFonts w:ascii="Symbol" w:hAnsi="Symbol" w:hint="default"/>
      </w:rPr>
    </w:lvl>
    <w:lvl w:ilvl="4" w:tplc="87425EA4">
      <w:start w:val="1"/>
      <w:numFmt w:val="bullet"/>
      <w:lvlText w:val="o"/>
      <w:lvlJc w:val="left"/>
      <w:pPr>
        <w:ind w:left="3600" w:hanging="360"/>
      </w:pPr>
      <w:rPr>
        <w:rFonts w:ascii="Courier New" w:hAnsi="Courier New" w:hint="default"/>
      </w:rPr>
    </w:lvl>
    <w:lvl w:ilvl="5" w:tplc="2D14C5D6">
      <w:start w:val="1"/>
      <w:numFmt w:val="bullet"/>
      <w:lvlText w:val=""/>
      <w:lvlJc w:val="left"/>
      <w:pPr>
        <w:ind w:left="4320" w:hanging="360"/>
      </w:pPr>
      <w:rPr>
        <w:rFonts w:ascii="Wingdings" w:hAnsi="Wingdings" w:hint="default"/>
      </w:rPr>
    </w:lvl>
    <w:lvl w:ilvl="6" w:tplc="4D4836C4">
      <w:start w:val="1"/>
      <w:numFmt w:val="bullet"/>
      <w:lvlText w:val=""/>
      <w:lvlJc w:val="left"/>
      <w:pPr>
        <w:ind w:left="5040" w:hanging="360"/>
      </w:pPr>
      <w:rPr>
        <w:rFonts w:ascii="Symbol" w:hAnsi="Symbol" w:hint="default"/>
      </w:rPr>
    </w:lvl>
    <w:lvl w:ilvl="7" w:tplc="59465EA6">
      <w:start w:val="1"/>
      <w:numFmt w:val="bullet"/>
      <w:lvlText w:val="o"/>
      <w:lvlJc w:val="left"/>
      <w:pPr>
        <w:ind w:left="5760" w:hanging="360"/>
      </w:pPr>
      <w:rPr>
        <w:rFonts w:ascii="Courier New" w:hAnsi="Courier New" w:hint="default"/>
      </w:rPr>
    </w:lvl>
    <w:lvl w:ilvl="8" w:tplc="698A489C">
      <w:start w:val="1"/>
      <w:numFmt w:val="bullet"/>
      <w:lvlText w:val=""/>
      <w:lvlJc w:val="left"/>
      <w:pPr>
        <w:ind w:left="6480" w:hanging="360"/>
      </w:pPr>
      <w:rPr>
        <w:rFonts w:ascii="Wingdings" w:hAnsi="Wingdings" w:hint="default"/>
      </w:rPr>
    </w:lvl>
  </w:abstractNum>
  <w:abstractNum w:abstractNumId="3" w15:restartNumberingAfterBreak="0">
    <w:nsid w:val="0F986A50"/>
    <w:multiLevelType w:val="hybridMultilevel"/>
    <w:tmpl w:val="8406452C"/>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07C07DE"/>
    <w:multiLevelType w:val="hybridMultilevel"/>
    <w:tmpl w:val="314E0CAE"/>
    <w:lvl w:ilvl="0" w:tplc="0809000F">
      <w:start w:val="1"/>
      <w:numFmt w:val="decimal"/>
      <w:lvlText w:val="%1."/>
      <w:lvlJc w:val="left"/>
      <w:pPr>
        <w:ind w:left="1440" w:hanging="360"/>
      </w:pPr>
      <w:rPr>
        <w:rFonts w:hint="default"/>
        <w:b/>
        <w:color w:val="243F60" w:themeColor="accent1" w:themeShade="7F"/>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29A5BAD"/>
    <w:multiLevelType w:val="hybridMultilevel"/>
    <w:tmpl w:val="8DDC9ADC"/>
    <w:lvl w:ilvl="0" w:tplc="D44042F8">
      <w:start w:val="1"/>
      <w:numFmt w:val="decimal"/>
      <w:lvlText w:val="%1."/>
      <w:lvlJc w:val="left"/>
      <w:pPr>
        <w:ind w:left="1080" w:hanging="360"/>
      </w:pPr>
      <w:rPr>
        <w:rFonts w:hint="default"/>
      </w:rPr>
    </w:lvl>
    <w:lvl w:ilvl="1" w:tplc="34090019" w:tentative="1">
      <w:start w:val="1"/>
      <w:numFmt w:val="lowerLetter"/>
      <w:lvlText w:val="%2."/>
      <w:lvlJc w:val="left"/>
      <w:pPr>
        <w:ind w:left="1800" w:hanging="360"/>
      </w:p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6" w15:restartNumberingAfterBreak="0">
    <w:nsid w:val="1D480FF4"/>
    <w:multiLevelType w:val="hybridMultilevel"/>
    <w:tmpl w:val="4F5A7F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A57953"/>
    <w:multiLevelType w:val="hybridMultilevel"/>
    <w:tmpl w:val="B0148CB6"/>
    <w:lvl w:ilvl="0" w:tplc="3DA8A48A">
      <w:start w:val="1"/>
      <w:numFmt w:val="decimal"/>
      <w:lvlText w:val="%1."/>
      <w:lvlJc w:val="left"/>
      <w:pPr>
        <w:ind w:left="1080" w:hanging="360"/>
      </w:pPr>
      <w:rPr>
        <w:rFonts w:hint="default"/>
      </w:rPr>
    </w:lvl>
    <w:lvl w:ilvl="1" w:tplc="34090019" w:tentative="1">
      <w:start w:val="1"/>
      <w:numFmt w:val="lowerLetter"/>
      <w:lvlText w:val="%2."/>
      <w:lvlJc w:val="left"/>
      <w:pPr>
        <w:ind w:left="1800" w:hanging="360"/>
      </w:p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8" w15:restartNumberingAfterBreak="0">
    <w:nsid w:val="1FCA3016"/>
    <w:multiLevelType w:val="hybridMultilevel"/>
    <w:tmpl w:val="EB1880A6"/>
    <w:lvl w:ilvl="0" w:tplc="666EF802">
      <w:start w:val="1"/>
      <w:numFmt w:val="decimal"/>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493599"/>
    <w:multiLevelType w:val="hybridMultilevel"/>
    <w:tmpl w:val="14101306"/>
    <w:lvl w:ilvl="0" w:tplc="68A88516">
      <w:start w:val="1"/>
      <w:numFmt w:val="decimal"/>
      <w:lvlText w:val="%1)"/>
      <w:lvlJc w:val="left"/>
      <w:pPr>
        <w:ind w:left="720" w:hanging="360"/>
      </w:pPr>
      <w:rPr>
        <w:rFonts w:asciiTheme="majorHAnsi" w:eastAsiaTheme="majorEastAsia" w:hAnsiTheme="majorHAnsi" w:cstheme="majorBidi" w:hint="default"/>
        <w:color w:val="243F60" w:themeColor="accent1" w:themeShade="7F"/>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5CE16DC"/>
    <w:multiLevelType w:val="multilevel"/>
    <w:tmpl w:val="54BAD8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7FE0691"/>
    <w:multiLevelType w:val="hybridMultilevel"/>
    <w:tmpl w:val="014ABA2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A4258BC"/>
    <w:multiLevelType w:val="multilevel"/>
    <w:tmpl w:val="D452C6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30155F2B"/>
    <w:multiLevelType w:val="hybridMultilevel"/>
    <w:tmpl w:val="9484079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0C066CC"/>
    <w:multiLevelType w:val="multilevel"/>
    <w:tmpl w:val="E460C7AE"/>
    <w:lvl w:ilvl="0">
      <w:start w:val="4"/>
      <w:numFmt w:val="decimal"/>
      <w:lvlText w:val="%1"/>
      <w:lvlJc w:val="left"/>
      <w:pPr>
        <w:ind w:left="560" w:hanging="560"/>
      </w:pPr>
      <w:rPr>
        <w:rFonts w:hint="default"/>
      </w:rPr>
    </w:lvl>
    <w:lvl w:ilvl="1">
      <w:start w:val="5"/>
      <w:numFmt w:val="decimal"/>
      <w:lvlText w:val="%1.%2"/>
      <w:lvlJc w:val="left"/>
      <w:pPr>
        <w:ind w:left="560" w:hanging="56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3DD60BE7"/>
    <w:multiLevelType w:val="hybridMultilevel"/>
    <w:tmpl w:val="B5B2FBB2"/>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0D73ADF"/>
    <w:multiLevelType w:val="hybridMultilevel"/>
    <w:tmpl w:val="4DECDB7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62666E4"/>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47572907"/>
    <w:multiLevelType w:val="multilevel"/>
    <w:tmpl w:val="97F4E8BC"/>
    <w:styleLink w:val="CurrentList1"/>
    <w:lvl w:ilvl="0">
      <w:start w:val="1"/>
      <w:numFmt w:val="decimal"/>
      <w:lvlText w:val="%1)"/>
      <w:lvlJc w:val="left"/>
      <w:pPr>
        <w:ind w:left="720" w:hanging="360"/>
      </w:pPr>
      <w:rPr>
        <w:rFonts w:asciiTheme="majorHAnsi" w:eastAsiaTheme="majorEastAsia" w:hAnsiTheme="majorHAnsi" w:cstheme="majorBidi" w:hint="default"/>
        <w:b/>
        <w:color w:val="243F60" w:themeColor="accent1" w:themeShade="7F"/>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84E1938"/>
    <w:multiLevelType w:val="hybridMultilevel"/>
    <w:tmpl w:val="4DECDB7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93C41A1"/>
    <w:multiLevelType w:val="hybridMultilevel"/>
    <w:tmpl w:val="1A58E1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4FE30216"/>
    <w:multiLevelType w:val="hybridMultilevel"/>
    <w:tmpl w:val="928CAA36"/>
    <w:lvl w:ilvl="0" w:tplc="08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2" w15:restartNumberingAfterBreak="0">
    <w:nsid w:val="53C911CB"/>
    <w:multiLevelType w:val="hybridMultilevel"/>
    <w:tmpl w:val="872C2AA0"/>
    <w:lvl w:ilvl="0" w:tplc="04090001">
      <w:start w:val="1"/>
      <w:numFmt w:val="bullet"/>
      <w:lvlText w:val=""/>
      <w:lvlJc w:val="left"/>
      <w:pPr>
        <w:ind w:left="589" w:hanging="360"/>
      </w:pPr>
      <w:rPr>
        <w:rFonts w:ascii="Symbol" w:hAnsi="Symbol" w:hint="default"/>
      </w:rPr>
    </w:lvl>
    <w:lvl w:ilvl="1" w:tplc="04090003">
      <w:start w:val="1"/>
      <w:numFmt w:val="bullet"/>
      <w:lvlText w:val="o"/>
      <w:lvlJc w:val="left"/>
      <w:pPr>
        <w:ind w:left="1309" w:hanging="360"/>
      </w:pPr>
      <w:rPr>
        <w:rFonts w:ascii="Courier New" w:hAnsi="Courier New" w:cs="Courier New" w:hint="default"/>
      </w:rPr>
    </w:lvl>
    <w:lvl w:ilvl="2" w:tplc="04090005">
      <w:start w:val="1"/>
      <w:numFmt w:val="bullet"/>
      <w:lvlText w:val=""/>
      <w:lvlJc w:val="left"/>
      <w:pPr>
        <w:ind w:left="2029" w:hanging="360"/>
      </w:pPr>
      <w:rPr>
        <w:rFonts w:ascii="Wingdings" w:hAnsi="Wingdings" w:hint="default"/>
      </w:rPr>
    </w:lvl>
    <w:lvl w:ilvl="3" w:tplc="04090001" w:tentative="1">
      <w:start w:val="1"/>
      <w:numFmt w:val="bullet"/>
      <w:lvlText w:val=""/>
      <w:lvlJc w:val="left"/>
      <w:pPr>
        <w:ind w:left="2749" w:hanging="360"/>
      </w:pPr>
      <w:rPr>
        <w:rFonts w:ascii="Symbol" w:hAnsi="Symbol" w:hint="default"/>
      </w:rPr>
    </w:lvl>
    <w:lvl w:ilvl="4" w:tplc="04090003" w:tentative="1">
      <w:start w:val="1"/>
      <w:numFmt w:val="bullet"/>
      <w:lvlText w:val="o"/>
      <w:lvlJc w:val="left"/>
      <w:pPr>
        <w:ind w:left="3469" w:hanging="360"/>
      </w:pPr>
      <w:rPr>
        <w:rFonts w:ascii="Courier New" w:hAnsi="Courier New" w:cs="Courier New" w:hint="default"/>
      </w:rPr>
    </w:lvl>
    <w:lvl w:ilvl="5" w:tplc="04090005" w:tentative="1">
      <w:start w:val="1"/>
      <w:numFmt w:val="bullet"/>
      <w:lvlText w:val=""/>
      <w:lvlJc w:val="left"/>
      <w:pPr>
        <w:ind w:left="4189" w:hanging="360"/>
      </w:pPr>
      <w:rPr>
        <w:rFonts w:ascii="Wingdings" w:hAnsi="Wingdings" w:hint="default"/>
      </w:rPr>
    </w:lvl>
    <w:lvl w:ilvl="6" w:tplc="04090001" w:tentative="1">
      <w:start w:val="1"/>
      <w:numFmt w:val="bullet"/>
      <w:lvlText w:val=""/>
      <w:lvlJc w:val="left"/>
      <w:pPr>
        <w:ind w:left="4909" w:hanging="360"/>
      </w:pPr>
      <w:rPr>
        <w:rFonts w:ascii="Symbol" w:hAnsi="Symbol" w:hint="default"/>
      </w:rPr>
    </w:lvl>
    <w:lvl w:ilvl="7" w:tplc="04090003" w:tentative="1">
      <w:start w:val="1"/>
      <w:numFmt w:val="bullet"/>
      <w:lvlText w:val="o"/>
      <w:lvlJc w:val="left"/>
      <w:pPr>
        <w:ind w:left="5629" w:hanging="360"/>
      </w:pPr>
      <w:rPr>
        <w:rFonts w:ascii="Courier New" w:hAnsi="Courier New" w:cs="Courier New" w:hint="default"/>
      </w:rPr>
    </w:lvl>
    <w:lvl w:ilvl="8" w:tplc="04090005" w:tentative="1">
      <w:start w:val="1"/>
      <w:numFmt w:val="bullet"/>
      <w:lvlText w:val=""/>
      <w:lvlJc w:val="left"/>
      <w:pPr>
        <w:ind w:left="6349" w:hanging="360"/>
      </w:pPr>
      <w:rPr>
        <w:rFonts w:ascii="Wingdings" w:hAnsi="Wingdings" w:hint="default"/>
      </w:rPr>
    </w:lvl>
  </w:abstractNum>
  <w:abstractNum w:abstractNumId="23" w15:restartNumberingAfterBreak="0">
    <w:nsid w:val="548B2D55"/>
    <w:multiLevelType w:val="hybridMultilevel"/>
    <w:tmpl w:val="98543D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91CE13E"/>
    <w:multiLevelType w:val="hybridMultilevel"/>
    <w:tmpl w:val="7B423448"/>
    <w:lvl w:ilvl="0" w:tplc="2AD47054">
      <w:start w:val="1"/>
      <w:numFmt w:val="bullet"/>
      <w:lvlText w:val=""/>
      <w:lvlJc w:val="left"/>
      <w:pPr>
        <w:ind w:left="720" w:hanging="360"/>
      </w:pPr>
      <w:rPr>
        <w:rFonts w:ascii="Symbol" w:hAnsi="Symbol" w:hint="default"/>
      </w:rPr>
    </w:lvl>
    <w:lvl w:ilvl="1" w:tplc="C33207FE">
      <w:start w:val="1"/>
      <w:numFmt w:val="bullet"/>
      <w:lvlText w:val="o"/>
      <w:lvlJc w:val="left"/>
      <w:pPr>
        <w:ind w:left="1440" w:hanging="360"/>
      </w:pPr>
      <w:rPr>
        <w:rFonts w:ascii="Courier New" w:hAnsi="Courier New" w:hint="default"/>
      </w:rPr>
    </w:lvl>
    <w:lvl w:ilvl="2" w:tplc="E7A44258">
      <w:start w:val="1"/>
      <w:numFmt w:val="bullet"/>
      <w:lvlText w:val=""/>
      <w:lvlJc w:val="left"/>
      <w:pPr>
        <w:ind w:left="2160" w:hanging="360"/>
      </w:pPr>
      <w:rPr>
        <w:rFonts w:ascii="Wingdings" w:hAnsi="Wingdings" w:hint="default"/>
      </w:rPr>
    </w:lvl>
    <w:lvl w:ilvl="3" w:tplc="BD3AE04A">
      <w:start w:val="1"/>
      <w:numFmt w:val="bullet"/>
      <w:lvlText w:val=""/>
      <w:lvlJc w:val="left"/>
      <w:pPr>
        <w:ind w:left="2880" w:hanging="360"/>
      </w:pPr>
      <w:rPr>
        <w:rFonts w:ascii="Symbol" w:hAnsi="Symbol" w:hint="default"/>
      </w:rPr>
    </w:lvl>
    <w:lvl w:ilvl="4" w:tplc="234EE9B4">
      <w:start w:val="1"/>
      <w:numFmt w:val="bullet"/>
      <w:lvlText w:val="o"/>
      <w:lvlJc w:val="left"/>
      <w:pPr>
        <w:ind w:left="3600" w:hanging="360"/>
      </w:pPr>
      <w:rPr>
        <w:rFonts w:ascii="Courier New" w:hAnsi="Courier New" w:hint="default"/>
      </w:rPr>
    </w:lvl>
    <w:lvl w:ilvl="5" w:tplc="1D40814C">
      <w:start w:val="1"/>
      <w:numFmt w:val="bullet"/>
      <w:lvlText w:val=""/>
      <w:lvlJc w:val="left"/>
      <w:pPr>
        <w:ind w:left="4320" w:hanging="360"/>
      </w:pPr>
      <w:rPr>
        <w:rFonts w:ascii="Wingdings" w:hAnsi="Wingdings" w:hint="default"/>
      </w:rPr>
    </w:lvl>
    <w:lvl w:ilvl="6" w:tplc="B62E7CFE">
      <w:start w:val="1"/>
      <w:numFmt w:val="bullet"/>
      <w:lvlText w:val=""/>
      <w:lvlJc w:val="left"/>
      <w:pPr>
        <w:ind w:left="5040" w:hanging="360"/>
      </w:pPr>
      <w:rPr>
        <w:rFonts w:ascii="Symbol" w:hAnsi="Symbol" w:hint="default"/>
      </w:rPr>
    </w:lvl>
    <w:lvl w:ilvl="7" w:tplc="AFD28E12">
      <w:start w:val="1"/>
      <w:numFmt w:val="bullet"/>
      <w:lvlText w:val="o"/>
      <w:lvlJc w:val="left"/>
      <w:pPr>
        <w:ind w:left="5760" w:hanging="360"/>
      </w:pPr>
      <w:rPr>
        <w:rFonts w:ascii="Courier New" w:hAnsi="Courier New" w:hint="default"/>
      </w:rPr>
    </w:lvl>
    <w:lvl w:ilvl="8" w:tplc="D58CDFBA">
      <w:start w:val="1"/>
      <w:numFmt w:val="bullet"/>
      <w:lvlText w:val=""/>
      <w:lvlJc w:val="left"/>
      <w:pPr>
        <w:ind w:left="6480" w:hanging="360"/>
      </w:pPr>
      <w:rPr>
        <w:rFonts w:ascii="Wingdings" w:hAnsi="Wingdings" w:hint="default"/>
      </w:rPr>
    </w:lvl>
  </w:abstractNum>
  <w:abstractNum w:abstractNumId="25" w15:restartNumberingAfterBreak="0">
    <w:nsid w:val="597E6D0F"/>
    <w:multiLevelType w:val="multilevel"/>
    <w:tmpl w:val="A92EF6A8"/>
    <w:lvl w:ilvl="0">
      <w:start w:val="1"/>
      <w:numFmt w:val="decimal"/>
      <w:lvlText w:val="%1."/>
      <w:lvlJc w:val="left"/>
      <w:pPr>
        <w:ind w:left="1080" w:hanging="360"/>
      </w:pPr>
      <w:rPr>
        <w:rFonts w:hint="default"/>
      </w:rPr>
    </w:lvl>
    <w:lvl w:ilvl="1">
      <w:start w:val="4"/>
      <w:numFmt w:val="decimal"/>
      <w:isLgl/>
      <w:lvlText w:val="%1.%2."/>
      <w:lvlJc w:val="left"/>
      <w:pPr>
        <w:ind w:left="1100" w:hanging="380"/>
      </w:pPr>
      <w:rPr>
        <w:rFonts w:hint="default"/>
        <w:b/>
      </w:rPr>
    </w:lvl>
    <w:lvl w:ilvl="2">
      <w:start w:val="1"/>
      <w:numFmt w:val="decimal"/>
      <w:isLgl/>
      <w:lvlText w:val="%1.%2.%3."/>
      <w:lvlJc w:val="left"/>
      <w:pPr>
        <w:ind w:left="1440" w:hanging="720"/>
      </w:pPr>
      <w:rPr>
        <w:rFonts w:hint="default"/>
        <w:b/>
      </w:rPr>
    </w:lvl>
    <w:lvl w:ilvl="3">
      <w:start w:val="1"/>
      <w:numFmt w:val="decimal"/>
      <w:isLgl/>
      <w:lvlText w:val="%1.%2.%3.%4."/>
      <w:lvlJc w:val="left"/>
      <w:pPr>
        <w:ind w:left="1440" w:hanging="720"/>
      </w:pPr>
      <w:rPr>
        <w:rFonts w:hint="default"/>
        <w:b/>
      </w:rPr>
    </w:lvl>
    <w:lvl w:ilvl="4">
      <w:start w:val="1"/>
      <w:numFmt w:val="decimal"/>
      <w:isLgl/>
      <w:lvlText w:val="%1.%2.%3.%4.%5."/>
      <w:lvlJc w:val="left"/>
      <w:pPr>
        <w:ind w:left="1800" w:hanging="1080"/>
      </w:pPr>
      <w:rPr>
        <w:rFonts w:hint="default"/>
        <w:b/>
      </w:rPr>
    </w:lvl>
    <w:lvl w:ilvl="5">
      <w:start w:val="1"/>
      <w:numFmt w:val="decimal"/>
      <w:isLgl/>
      <w:lvlText w:val="%1.%2.%3.%4.%5.%6."/>
      <w:lvlJc w:val="left"/>
      <w:pPr>
        <w:ind w:left="1800" w:hanging="1080"/>
      </w:pPr>
      <w:rPr>
        <w:rFonts w:hint="default"/>
        <w:b/>
      </w:rPr>
    </w:lvl>
    <w:lvl w:ilvl="6">
      <w:start w:val="1"/>
      <w:numFmt w:val="decimal"/>
      <w:isLgl/>
      <w:lvlText w:val="%1.%2.%3.%4.%5.%6.%7."/>
      <w:lvlJc w:val="left"/>
      <w:pPr>
        <w:ind w:left="2160" w:hanging="1440"/>
      </w:pPr>
      <w:rPr>
        <w:rFonts w:hint="default"/>
        <w:b/>
      </w:rPr>
    </w:lvl>
    <w:lvl w:ilvl="7">
      <w:start w:val="1"/>
      <w:numFmt w:val="decimal"/>
      <w:isLgl/>
      <w:lvlText w:val="%1.%2.%3.%4.%5.%6.%7.%8."/>
      <w:lvlJc w:val="left"/>
      <w:pPr>
        <w:ind w:left="2160" w:hanging="1440"/>
      </w:pPr>
      <w:rPr>
        <w:rFonts w:hint="default"/>
        <w:b/>
      </w:rPr>
    </w:lvl>
    <w:lvl w:ilvl="8">
      <w:start w:val="1"/>
      <w:numFmt w:val="decimal"/>
      <w:isLgl/>
      <w:lvlText w:val="%1.%2.%3.%4.%5.%6.%7.%8.%9."/>
      <w:lvlJc w:val="left"/>
      <w:pPr>
        <w:ind w:left="2520" w:hanging="1800"/>
      </w:pPr>
      <w:rPr>
        <w:rFonts w:hint="default"/>
        <w:b/>
      </w:rPr>
    </w:lvl>
  </w:abstractNum>
  <w:abstractNum w:abstractNumId="26" w15:restartNumberingAfterBreak="0">
    <w:nsid w:val="63CE11A3"/>
    <w:multiLevelType w:val="hybridMultilevel"/>
    <w:tmpl w:val="A47E23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4927A76"/>
    <w:multiLevelType w:val="hybridMultilevel"/>
    <w:tmpl w:val="8DCAE8E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64C52D7F"/>
    <w:multiLevelType w:val="hybridMultilevel"/>
    <w:tmpl w:val="338016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72D7AA2"/>
    <w:multiLevelType w:val="hybridMultilevel"/>
    <w:tmpl w:val="EEB40DC4"/>
    <w:lvl w:ilvl="0" w:tplc="08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0" w15:restartNumberingAfterBreak="0">
    <w:nsid w:val="68E1492F"/>
    <w:multiLevelType w:val="multilevel"/>
    <w:tmpl w:val="0C9E66C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A470666"/>
    <w:multiLevelType w:val="hybridMultilevel"/>
    <w:tmpl w:val="03228FEA"/>
    <w:lvl w:ilvl="0" w:tplc="63E24172">
      <w:start w:val="1"/>
      <w:numFmt w:val="decimal"/>
      <w:lvlText w:val="%1."/>
      <w:lvlJc w:val="left"/>
      <w:pPr>
        <w:ind w:left="1080" w:hanging="360"/>
      </w:pPr>
      <w:rPr>
        <w:rFonts w:hint="default"/>
      </w:rPr>
    </w:lvl>
    <w:lvl w:ilvl="1" w:tplc="34090019" w:tentative="1">
      <w:start w:val="1"/>
      <w:numFmt w:val="lowerLetter"/>
      <w:lvlText w:val="%2."/>
      <w:lvlJc w:val="left"/>
      <w:pPr>
        <w:ind w:left="1800" w:hanging="360"/>
      </w:p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32" w15:restartNumberingAfterBreak="0">
    <w:nsid w:val="6DC20812"/>
    <w:multiLevelType w:val="hybridMultilevel"/>
    <w:tmpl w:val="B83084FE"/>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E75F6E5"/>
    <w:multiLevelType w:val="hybridMultilevel"/>
    <w:tmpl w:val="FFFFFFFF"/>
    <w:lvl w:ilvl="0" w:tplc="8E2A73D4">
      <w:start w:val="1"/>
      <w:numFmt w:val="bullet"/>
      <w:lvlText w:val="-"/>
      <w:lvlJc w:val="left"/>
      <w:pPr>
        <w:ind w:left="720" w:hanging="360"/>
      </w:pPr>
      <w:rPr>
        <w:rFonts w:ascii="Aptos" w:hAnsi="Aptos" w:hint="default"/>
      </w:rPr>
    </w:lvl>
    <w:lvl w:ilvl="1" w:tplc="FB98A452">
      <w:start w:val="1"/>
      <w:numFmt w:val="bullet"/>
      <w:lvlText w:val="o"/>
      <w:lvlJc w:val="left"/>
      <w:pPr>
        <w:ind w:left="1440" w:hanging="360"/>
      </w:pPr>
      <w:rPr>
        <w:rFonts w:ascii="Courier New" w:hAnsi="Courier New" w:hint="default"/>
      </w:rPr>
    </w:lvl>
    <w:lvl w:ilvl="2" w:tplc="61D20DA8">
      <w:start w:val="1"/>
      <w:numFmt w:val="bullet"/>
      <w:lvlText w:val=""/>
      <w:lvlJc w:val="left"/>
      <w:pPr>
        <w:ind w:left="2160" w:hanging="360"/>
      </w:pPr>
      <w:rPr>
        <w:rFonts w:ascii="Wingdings" w:hAnsi="Wingdings" w:hint="default"/>
      </w:rPr>
    </w:lvl>
    <w:lvl w:ilvl="3" w:tplc="6BD09F04">
      <w:start w:val="1"/>
      <w:numFmt w:val="bullet"/>
      <w:lvlText w:val=""/>
      <w:lvlJc w:val="left"/>
      <w:pPr>
        <w:ind w:left="2880" w:hanging="360"/>
      </w:pPr>
      <w:rPr>
        <w:rFonts w:ascii="Symbol" w:hAnsi="Symbol" w:hint="default"/>
      </w:rPr>
    </w:lvl>
    <w:lvl w:ilvl="4" w:tplc="D100A866">
      <w:start w:val="1"/>
      <w:numFmt w:val="bullet"/>
      <w:lvlText w:val="o"/>
      <w:lvlJc w:val="left"/>
      <w:pPr>
        <w:ind w:left="3600" w:hanging="360"/>
      </w:pPr>
      <w:rPr>
        <w:rFonts w:ascii="Courier New" w:hAnsi="Courier New" w:hint="default"/>
      </w:rPr>
    </w:lvl>
    <w:lvl w:ilvl="5" w:tplc="E5CA2D20">
      <w:start w:val="1"/>
      <w:numFmt w:val="bullet"/>
      <w:lvlText w:val=""/>
      <w:lvlJc w:val="left"/>
      <w:pPr>
        <w:ind w:left="4320" w:hanging="360"/>
      </w:pPr>
      <w:rPr>
        <w:rFonts w:ascii="Wingdings" w:hAnsi="Wingdings" w:hint="default"/>
      </w:rPr>
    </w:lvl>
    <w:lvl w:ilvl="6" w:tplc="A67EDC5C">
      <w:start w:val="1"/>
      <w:numFmt w:val="bullet"/>
      <w:lvlText w:val=""/>
      <w:lvlJc w:val="left"/>
      <w:pPr>
        <w:ind w:left="5040" w:hanging="360"/>
      </w:pPr>
      <w:rPr>
        <w:rFonts w:ascii="Symbol" w:hAnsi="Symbol" w:hint="default"/>
      </w:rPr>
    </w:lvl>
    <w:lvl w:ilvl="7" w:tplc="4B068CBA">
      <w:start w:val="1"/>
      <w:numFmt w:val="bullet"/>
      <w:lvlText w:val="o"/>
      <w:lvlJc w:val="left"/>
      <w:pPr>
        <w:ind w:left="5760" w:hanging="360"/>
      </w:pPr>
      <w:rPr>
        <w:rFonts w:ascii="Courier New" w:hAnsi="Courier New" w:hint="default"/>
      </w:rPr>
    </w:lvl>
    <w:lvl w:ilvl="8" w:tplc="2626F7B8">
      <w:start w:val="1"/>
      <w:numFmt w:val="bullet"/>
      <w:lvlText w:val=""/>
      <w:lvlJc w:val="left"/>
      <w:pPr>
        <w:ind w:left="6480" w:hanging="360"/>
      </w:pPr>
      <w:rPr>
        <w:rFonts w:ascii="Wingdings" w:hAnsi="Wingdings" w:hint="default"/>
      </w:rPr>
    </w:lvl>
  </w:abstractNum>
  <w:abstractNum w:abstractNumId="34" w15:restartNumberingAfterBreak="0">
    <w:nsid w:val="715B09F4"/>
    <w:multiLevelType w:val="hybridMultilevel"/>
    <w:tmpl w:val="9D984A9A"/>
    <w:lvl w:ilvl="0" w:tplc="08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5" w15:restartNumberingAfterBreak="0">
    <w:nsid w:val="76DD3B75"/>
    <w:multiLevelType w:val="hybridMultilevel"/>
    <w:tmpl w:val="82B49676"/>
    <w:lvl w:ilvl="0" w:tplc="0809000F">
      <w:start w:val="3"/>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6" w15:restartNumberingAfterBreak="0">
    <w:nsid w:val="771777AD"/>
    <w:multiLevelType w:val="multilevel"/>
    <w:tmpl w:val="019C28B4"/>
    <w:lvl w:ilvl="0">
      <w:start w:val="1"/>
      <w:numFmt w:val="decimal"/>
      <w:pStyle w:val="1Parties"/>
      <w:lvlText w:val="(%1)"/>
      <w:lvlJc w:val="left"/>
      <w:pPr>
        <w:tabs>
          <w:tab w:val="num" w:pos="720"/>
        </w:tabs>
        <w:ind w:left="720" w:hanging="720"/>
      </w:pPr>
    </w:lvl>
    <w:lvl w:ilvl="1">
      <w:start w:val="1"/>
      <w:numFmt w:val="lowerLetter"/>
      <w:pStyle w:val="Scha"/>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15:restartNumberingAfterBreak="0">
    <w:nsid w:val="79656E57"/>
    <w:multiLevelType w:val="hybridMultilevel"/>
    <w:tmpl w:val="8D462F92"/>
    <w:lvl w:ilvl="0" w:tplc="0809000F">
      <w:start w:val="1"/>
      <w:numFmt w:val="decimal"/>
      <w:lvlText w:val="%1."/>
      <w:lvlJc w:val="lef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16cid:durableId="600648939">
    <w:abstractNumId w:val="24"/>
  </w:num>
  <w:num w:numId="2" w16cid:durableId="784540376">
    <w:abstractNumId w:val="2"/>
  </w:num>
  <w:num w:numId="3" w16cid:durableId="915407673">
    <w:abstractNumId w:val="1"/>
  </w:num>
  <w:num w:numId="4" w16cid:durableId="1994409777">
    <w:abstractNumId w:val="30"/>
  </w:num>
  <w:num w:numId="5" w16cid:durableId="1130977353">
    <w:abstractNumId w:val="22"/>
  </w:num>
  <w:num w:numId="6" w16cid:durableId="601688823">
    <w:abstractNumId w:val="15"/>
  </w:num>
  <w:num w:numId="7" w16cid:durableId="687026726">
    <w:abstractNumId w:val="23"/>
  </w:num>
  <w:num w:numId="8" w16cid:durableId="946813856">
    <w:abstractNumId w:val="32"/>
  </w:num>
  <w:num w:numId="9" w16cid:durableId="1148013725">
    <w:abstractNumId w:val="27"/>
  </w:num>
  <w:num w:numId="10" w16cid:durableId="76169133">
    <w:abstractNumId w:val="20"/>
  </w:num>
  <w:num w:numId="11" w16cid:durableId="1717047941">
    <w:abstractNumId w:val="13"/>
  </w:num>
  <w:num w:numId="12" w16cid:durableId="254167598">
    <w:abstractNumId w:val="14"/>
  </w:num>
  <w:num w:numId="13" w16cid:durableId="993798440">
    <w:abstractNumId w:val="36"/>
  </w:num>
  <w:num w:numId="14" w16cid:durableId="1818254297">
    <w:abstractNumId w:val="8"/>
  </w:num>
  <w:num w:numId="15" w16cid:durableId="1681422757">
    <w:abstractNumId w:val="0"/>
  </w:num>
  <w:num w:numId="16" w16cid:durableId="1417168185">
    <w:abstractNumId w:val="17"/>
  </w:num>
  <w:num w:numId="17" w16cid:durableId="624700170">
    <w:abstractNumId w:val="10"/>
  </w:num>
  <w:num w:numId="18" w16cid:durableId="1994289939">
    <w:abstractNumId w:val="37"/>
  </w:num>
  <w:num w:numId="19" w16cid:durableId="1265578377">
    <w:abstractNumId w:val="12"/>
  </w:num>
  <w:num w:numId="20" w16cid:durableId="1499342112">
    <w:abstractNumId w:val="25"/>
  </w:num>
  <w:num w:numId="21" w16cid:durableId="620108349">
    <w:abstractNumId w:val="26"/>
  </w:num>
  <w:num w:numId="22" w16cid:durableId="132715395">
    <w:abstractNumId w:val="19"/>
  </w:num>
  <w:num w:numId="23" w16cid:durableId="913783200">
    <w:abstractNumId w:val="29"/>
  </w:num>
  <w:num w:numId="24" w16cid:durableId="1970891499">
    <w:abstractNumId w:val="19"/>
    <w:lvlOverride w:ilvl="0">
      <w:lvl w:ilvl="0" w:tplc="0809000F">
        <w:start w:val="1"/>
        <w:numFmt w:val="decimal"/>
        <w:lvlText w:val="%1."/>
        <w:lvlJc w:val="left"/>
        <w:pPr>
          <w:ind w:left="360" w:hanging="360"/>
        </w:pPr>
        <w:rPr>
          <w:rFonts w:hint="default"/>
        </w:rPr>
      </w:lvl>
    </w:lvlOverride>
    <w:lvlOverride w:ilvl="1">
      <w:lvl w:ilvl="1" w:tplc="08090019" w:tentative="1">
        <w:start w:val="1"/>
        <w:numFmt w:val="lowerLetter"/>
        <w:lvlText w:val="%2."/>
        <w:lvlJc w:val="left"/>
        <w:pPr>
          <w:ind w:left="1440" w:hanging="360"/>
        </w:pPr>
      </w:lvl>
    </w:lvlOverride>
    <w:lvlOverride w:ilvl="2">
      <w:lvl w:ilvl="2" w:tplc="0809001B" w:tentative="1">
        <w:start w:val="1"/>
        <w:numFmt w:val="lowerRoman"/>
        <w:lvlText w:val="%3."/>
        <w:lvlJc w:val="right"/>
        <w:pPr>
          <w:ind w:left="2160" w:hanging="180"/>
        </w:pPr>
      </w:lvl>
    </w:lvlOverride>
    <w:lvlOverride w:ilvl="3">
      <w:lvl w:ilvl="3" w:tplc="0809000F" w:tentative="1">
        <w:start w:val="1"/>
        <w:numFmt w:val="decimal"/>
        <w:lvlText w:val="%4."/>
        <w:lvlJc w:val="left"/>
        <w:pPr>
          <w:ind w:left="2880" w:hanging="360"/>
        </w:pPr>
      </w:lvl>
    </w:lvlOverride>
    <w:lvlOverride w:ilvl="4">
      <w:lvl w:ilvl="4" w:tplc="08090019" w:tentative="1">
        <w:start w:val="1"/>
        <w:numFmt w:val="lowerLetter"/>
        <w:lvlText w:val="%5."/>
        <w:lvlJc w:val="left"/>
        <w:pPr>
          <w:ind w:left="3600" w:hanging="360"/>
        </w:pPr>
      </w:lvl>
    </w:lvlOverride>
    <w:lvlOverride w:ilvl="5">
      <w:lvl w:ilvl="5" w:tplc="0809001B" w:tentative="1">
        <w:start w:val="1"/>
        <w:numFmt w:val="lowerRoman"/>
        <w:lvlText w:val="%6."/>
        <w:lvlJc w:val="right"/>
        <w:pPr>
          <w:ind w:left="4320" w:hanging="180"/>
        </w:pPr>
      </w:lvl>
    </w:lvlOverride>
    <w:lvlOverride w:ilvl="6">
      <w:lvl w:ilvl="6" w:tplc="0809000F" w:tentative="1">
        <w:start w:val="1"/>
        <w:numFmt w:val="decimal"/>
        <w:lvlText w:val="%7."/>
        <w:lvlJc w:val="left"/>
        <w:pPr>
          <w:ind w:left="5040" w:hanging="360"/>
        </w:pPr>
      </w:lvl>
    </w:lvlOverride>
    <w:lvlOverride w:ilvl="7">
      <w:lvl w:ilvl="7" w:tplc="08090019" w:tentative="1">
        <w:start w:val="1"/>
        <w:numFmt w:val="lowerLetter"/>
        <w:lvlText w:val="%8."/>
        <w:lvlJc w:val="left"/>
        <w:pPr>
          <w:ind w:left="5760" w:hanging="360"/>
        </w:pPr>
      </w:lvl>
    </w:lvlOverride>
    <w:lvlOverride w:ilvl="8">
      <w:lvl w:ilvl="8" w:tplc="0809001B" w:tentative="1">
        <w:start w:val="1"/>
        <w:numFmt w:val="lowerRoman"/>
        <w:lvlText w:val="%9."/>
        <w:lvlJc w:val="right"/>
        <w:pPr>
          <w:ind w:left="6480" w:hanging="180"/>
        </w:pPr>
      </w:lvl>
    </w:lvlOverride>
  </w:num>
  <w:num w:numId="25" w16cid:durableId="1409300934">
    <w:abstractNumId w:val="3"/>
  </w:num>
  <w:num w:numId="26" w16cid:durableId="1098213647">
    <w:abstractNumId w:val="16"/>
  </w:num>
  <w:num w:numId="27" w16cid:durableId="1450662999">
    <w:abstractNumId w:val="35"/>
  </w:num>
  <w:num w:numId="28" w16cid:durableId="483737992">
    <w:abstractNumId w:val="34"/>
  </w:num>
  <w:num w:numId="29" w16cid:durableId="176507524">
    <w:abstractNumId w:val="5"/>
  </w:num>
  <w:num w:numId="30" w16cid:durableId="1834834373">
    <w:abstractNumId w:val="31"/>
  </w:num>
  <w:num w:numId="31" w16cid:durableId="732049154">
    <w:abstractNumId w:val="7"/>
  </w:num>
  <w:num w:numId="32" w16cid:durableId="1732079231">
    <w:abstractNumId w:val="21"/>
  </w:num>
  <w:num w:numId="33" w16cid:durableId="2067755886">
    <w:abstractNumId w:val="11"/>
  </w:num>
  <w:num w:numId="34" w16cid:durableId="1177112829">
    <w:abstractNumId w:val="9"/>
  </w:num>
  <w:num w:numId="35" w16cid:durableId="2007007026">
    <w:abstractNumId w:val="28"/>
  </w:num>
  <w:num w:numId="36" w16cid:durableId="1551185060">
    <w:abstractNumId w:val="4"/>
  </w:num>
  <w:num w:numId="37" w16cid:durableId="499545898">
    <w:abstractNumId w:val="18"/>
  </w:num>
  <w:num w:numId="38" w16cid:durableId="545870803">
    <w:abstractNumId w:val="6"/>
  </w:num>
  <w:num w:numId="39" w16cid:durableId="844785857">
    <w:abstractNumId w:val="33"/>
  </w:num>
  <w:numIdMacAtCleanup w:val="10"/>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63"/>
  <w:displayHorizontalDrawingGridEvery w:val="0"/>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3E24"/>
    <w:rsid w:val="00000089"/>
    <w:rsid w:val="00000CB8"/>
    <w:rsid w:val="00001AEC"/>
    <w:rsid w:val="00002E00"/>
    <w:rsid w:val="00003C9B"/>
    <w:rsid w:val="00004849"/>
    <w:rsid w:val="00005990"/>
    <w:rsid w:val="00005BE3"/>
    <w:rsid w:val="0000652F"/>
    <w:rsid w:val="0000660E"/>
    <w:rsid w:val="000066D1"/>
    <w:rsid w:val="00007E0C"/>
    <w:rsid w:val="00011739"/>
    <w:rsid w:val="00012051"/>
    <w:rsid w:val="00013D0A"/>
    <w:rsid w:val="00015B6E"/>
    <w:rsid w:val="0002270D"/>
    <w:rsid w:val="000255E4"/>
    <w:rsid w:val="00025822"/>
    <w:rsid w:val="0002754C"/>
    <w:rsid w:val="00032DEE"/>
    <w:rsid w:val="000354E1"/>
    <w:rsid w:val="00036021"/>
    <w:rsid w:val="0003710C"/>
    <w:rsid w:val="00040A6D"/>
    <w:rsid w:val="00041292"/>
    <w:rsid w:val="000419A7"/>
    <w:rsid w:val="00050216"/>
    <w:rsid w:val="00050A6E"/>
    <w:rsid w:val="000522A1"/>
    <w:rsid w:val="00052421"/>
    <w:rsid w:val="00052954"/>
    <w:rsid w:val="00053978"/>
    <w:rsid w:val="0005631D"/>
    <w:rsid w:val="000570B2"/>
    <w:rsid w:val="0006126E"/>
    <w:rsid w:val="00063EB7"/>
    <w:rsid w:val="00064C52"/>
    <w:rsid w:val="00065321"/>
    <w:rsid w:val="00067263"/>
    <w:rsid w:val="0007002B"/>
    <w:rsid w:val="00070C7C"/>
    <w:rsid w:val="00072A3D"/>
    <w:rsid w:val="00075E47"/>
    <w:rsid w:val="00080D71"/>
    <w:rsid w:val="00080E80"/>
    <w:rsid w:val="0008178A"/>
    <w:rsid w:val="00083C4F"/>
    <w:rsid w:val="000841AE"/>
    <w:rsid w:val="000861D7"/>
    <w:rsid w:val="00086B1B"/>
    <w:rsid w:val="00086B82"/>
    <w:rsid w:val="00091023"/>
    <w:rsid w:val="000924F6"/>
    <w:rsid w:val="000956EF"/>
    <w:rsid w:val="00095A69"/>
    <w:rsid w:val="00095A96"/>
    <w:rsid w:val="000976F5"/>
    <w:rsid w:val="000A36FF"/>
    <w:rsid w:val="000A4244"/>
    <w:rsid w:val="000B09D4"/>
    <w:rsid w:val="000B25BE"/>
    <w:rsid w:val="000B316F"/>
    <w:rsid w:val="000B4565"/>
    <w:rsid w:val="000B497A"/>
    <w:rsid w:val="000B5CC2"/>
    <w:rsid w:val="000B6C81"/>
    <w:rsid w:val="000B7368"/>
    <w:rsid w:val="000C056C"/>
    <w:rsid w:val="000C1011"/>
    <w:rsid w:val="000C2FB7"/>
    <w:rsid w:val="000C437B"/>
    <w:rsid w:val="000C56B7"/>
    <w:rsid w:val="000C5A6A"/>
    <w:rsid w:val="000C5F80"/>
    <w:rsid w:val="000C6E56"/>
    <w:rsid w:val="000C7FCF"/>
    <w:rsid w:val="000D0C1F"/>
    <w:rsid w:val="000D1B3D"/>
    <w:rsid w:val="000D3E24"/>
    <w:rsid w:val="000D5BD4"/>
    <w:rsid w:val="000D77FD"/>
    <w:rsid w:val="000E2552"/>
    <w:rsid w:val="000E3CAA"/>
    <w:rsid w:val="000E3F50"/>
    <w:rsid w:val="000E527C"/>
    <w:rsid w:val="000E5FC7"/>
    <w:rsid w:val="000E76C0"/>
    <w:rsid w:val="000E7DB5"/>
    <w:rsid w:val="000F0C95"/>
    <w:rsid w:val="000F3103"/>
    <w:rsid w:val="000F3E4B"/>
    <w:rsid w:val="000F40DF"/>
    <w:rsid w:val="000F4A0C"/>
    <w:rsid w:val="000F5149"/>
    <w:rsid w:val="000F65A1"/>
    <w:rsid w:val="000F7BBB"/>
    <w:rsid w:val="001032D8"/>
    <w:rsid w:val="00104797"/>
    <w:rsid w:val="00107086"/>
    <w:rsid w:val="0011031E"/>
    <w:rsid w:val="001104B2"/>
    <w:rsid w:val="00111C76"/>
    <w:rsid w:val="00112D0D"/>
    <w:rsid w:val="00112D18"/>
    <w:rsid w:val="00114D3E"/>
    <w:rsid w:val="00116E83"/>
    <w:rsid w:val="001171BF"/>
    <w:rsid w:val="00117483"/>
    <w:rsid w:val="00120A86"/>
    <w:rsid w:val="001225D4"/>
    <w:rsid w:val="00122F48"/>
    <w:rsid w:val="00124859"/>
    <w:rsid w:val="001255FF"/>
    <w:rsid w:val="00125E01"/>
    <w:rsid w:val="00130369"/>
    <w:rsid w:val="001309C0"/>
    <w:rsid w:val="00130D72"/>
    <w:rsid w:val="0013457F"/>
    <w:rsid w:val="001347BD"/>
    <w:rsid w:val="00134AF5"/>
    <w:rsid w:val="00140F30"/>
    <w:rsid w:val="00141665"/>
    <w:rsid w:val="001441E8"/>
    <w:rsid w:val="00146557"/>
    <w:rsid w:val="00146602"/>
    <w:rsid w:val="0014718D"/>
    <w:rsid w:val="00150206"/>
    <w:rsid w:val="00151394"/>
    <w:rsid w:val="0015355B"/>
    <w:rsid w:val="00153872"/>
    <w:rsid w:val="0015528C"/>
    <w:rsid w:val="00155B7E"/>
    <w:rsid w:val="00155F4C"/>
    <w:rsid w:val="00156839"/>
    <w:rsid w:val="001578DB"/>
    <w:rsid w:val="00157A6E"/>
    <w:rsid w:val="00163520"/>
    <w:rsid w:val="00163CFC"/>
    <w:rsid w:val="001649E6"/>
    <w:rsid w:val="001667BA"/>
    <w:rsid w:val="001668DC"/>
    <w:rsid w:val="00170C68"/>
    <w:rsid w:val="00170DA3"/>
    <w:rsid w:val="00171C91"/>
    <w:rsid w:val="001733EC"/>
    <w:rsid w:val="00176D88"/>
    <w:rsid w:val="00180B85"/>
    <w:rsid w:val="00185986"/>
    <w:rsid w:val="00190650"/>
    <w:rsid w:val="00190D15"/>
    <w:rsid w:val="00193296"/>
    <w:rsid w:val="001940D0"/>
    <w:rsid w:val="00195CC4"/>
    <w:rsid w:val="001966D1"/>
    <w:rsid w:val="00197293"/>
    <w:rsid w:val="00197D15"/>
    <w:rsid w:val="00197F81"/>
    <w:rsid w:val="00197FCC"/>
    <w:rsid w:val="001A0343"/>
    <w:rsid w:val="001A4ED5"/>
    <w:rsid w:val="001A63D2"/>
    <w:rsid w:val="001B38E1"/>
    <w:rsid w:val="001B5042"/>
    <w:rsid w:val="001B590D"/>
    <w:rsid w:val="001B593B"/>
    <w:rsid w:val="001B7846"/>
    <w:rsid w:val="001B7D71"/>
    <w:rsid w:val="001C3F69"/>
    <w:rsid w:val="001C4AFE"/>
    <w:rsid w:val="001C546F"/>
    <w:rsid w:val="001C6008"/>
    <w:rsid w:val="001C713E"/>
    <w:rsid w:val="001D2A36"/>
    <w:rsid w:val="001D55F5"/>
    <w:rsid w:val="001D5608"/>
    <w:rsid w:val="001D6C2A"/>
    <w:rsid w:val="001D7F0A"/>
    <w:rsid w:val="001E06CC"/>
    <w:rsid w:val="001E16EB"/>
    <w:rsid w:val="001E2D7A"/>
    <w:rsid w:val="001E4F54"/>
    <w:rsid w:val="001E76AC"/>
    <w:rsid w:val="001E77C7"/>
    <w:rsid w:val="001F0289"/>
    <w:rsid w:val="001F0700"/>
    <w:rsid w:val="001F18EB"/>
    <w:rsid w:val="001F2A3C"/>
    <w:rsid w:val="001F3292"/>
    <w:rsid w:val="001F382E"/>
    <w:rsid w:val="001F39AC"/>
    <w:rsid w:val="001F4954"/>
    <w:rsid w:val="001F4DAB"/>
    <w:rsid w:val="001F6C35"/>
    <w:rsid w:val="00200DFD"/>
    <w:rsid w:val="00201880"/>
    <w:rsid w:val="002026B7"/>
    <w:rsid w:val="002036BE"/>
    <w:rsid w:val="00204744"/>
    <w:rsid w:val="002051BD"/>
    <w:rsid w:val="00205CB0"/>
    <w:rsid w:val="0020756F"/>
    <w:rsid w:val="00212A8C"/>
    <w:rsid w:val="00213835"/>
    <w:rsid w:val="00213A0F"/>
    <w:rsid w:val="00214670"/>
    <w:rsid w:val="00214AAE"/>
    <w:rsid w:val="00215070"/>
    <w:rsid w:val="002155B9"/>
    <w:rsid w:val="00215B46"/>
    <w:rsid w:val="00215B9D"/>
    <w:rsid w:val="002166AC"/>
    <w:rsid w:val="002176D4"/>
    <w:rsid w:val="002225D0"/>
    <w:rsid w:val="00223DB8"/>
    <w:rsid w:val="0022417A"/>
    <w:rsid w:val="00224341"/>
    <w:rsid w:val="0022707B"/>
    <w:rsid w:val="00227BEC"/>
    <w:rsid w:val="00230A21"/>
    <w:rsid w:val="00231270"/>
    <w:rsid w:val="00231DC4"/>
    <w:rsid w:val="00232C7F"/>
    <w:rsid w:val="00232D52"/>
    <w:rsid w:val="00233D63"/>
    <w:rsid w:val="00233E9C"/>
    <w:rsid w:val="002349A8"/>
    <w:rsid w:val="00235434"/>
    <w:rsid w:val="002374A7"/>
    <w:rsid w:val="002404CA"/>
    <w:rsid w:val="00240EBA"/>
    <w:rsid w:val="00242055"/>
    <w:rsid w:val="0024264C"/>
    <w:rsid w:val="00243135"/>
    <w:rsid w:val="002437EB"/>
    <w:rsid w:val="002450C1"/>
    <w:rsid w:val="00245A93"/>
    <w:rsid w:val="00246D7A"/>
    <w:rsid w:val="002473D1"/>
    <w:rsid w:val="002509ED"/>
    <w:rsid w:val="00251024"/>
    <w:rsid w:val="00251699"/>
    <w:rsid w:val="00255A0C"/>
    <w:rsid w:val="00256150"/>
    <w:rsid w:val="0025780E"/>
    <w:rsid w:val="00261015"/>
    <w:rsid w:val="00264259"/>
    <w:rsid w:val="002650ED"/>
    <w:rsid w:val="002655C5"/>
    <w:rsid w:val="0027171C"/>
    <w:rsid w:val="002717BA"/>
    <w:rsid w:val="00272905"/>
    <w:rsid w:val="002735D2"/>
    <w:rsid w:val="00274869"/>
    <w:rsid w:val="00276C0B"/>
    <w:rsid w:val="002814FF"/>
    <w:rsid w:val="0028198C"/>
    <w:rsid w:val="00285493"/>
    <w:rsid w:val="00286748"/>
    <w:rsid w:val="0028780A"/>
    <w:rsid w:val="00294517"/>
    <w:rsid w:val="00294C20"/>
    <w:rsid w:val="0029609C"/>
    <w:rsid w:val="002A3C21"/>
    <w:rsid w:val="002A6A0F"/>
    <w:rsid w:val="002B042C"/>
    <w:rsid w:val="002B528F"/>
    <w:rsid w:val="002B53D3"/>
    <w:rsid w:val="002B58B6"/>
    <w:rsid w:val="002B788C"/>
    <w:rsid w:val="002B7B8E"/>
    <w:rsid w:val="002B7D88"/>
    <w:rsid w:val="002C1F69"/>
    <w:rsid w:val="002C297E"/>
    <w:rsid w:val="002C50D9"/>
    <w:rsid w:val="002C79A6"/>
    <w:rsid w:val="002D04AF"/>
    <w:rsid w:val="002D35BB"/>
    <w:rsid w:val="002D40BB"/>
    <w:rsid w:val="002D525A"/>
    <w:rsid w:val="002D5DFD"/>
    <w:rsid w:val="002D6A4D"/>
    <w:rsid w:val="002D725F"/>
    <w:rsid w:val="002D7FCA"/>
    <w:rsid w:val="002E0FF6"/>
    <w:rsid w:val="002E29BF"/>
    <w:rsid w:val="002E46B3"/>
    <w:rsid w:val="002E5E18"/>
    <w:rsid w:val="002E66F2"/>
    <w:rsid w:val="002E734E"/>
    <w:rsid w:val="002F0172"/>
    <w:rsid w:val="002F33BA"/>
    <w:rsid w:val="002F3649"/>
    <w:rsid w:val="002F7A05"/>
    <w:rsid w:val="00303AFD"/>
    <w:rsid w:val="00304240"/>
    <w:rsid w:val="003046BF"/>
    <w:rsid w:val="00304FDB"/>
    <w:rsid w:val="0030518E"/>
    <w:rsid w:val="00305B7D"/>
    <w:rsid w:val="00305E9B"/>
    <w:rsid w:val="00306B9A"/>
    <w:rsid w:val="003078A1"/>
    <w:rsid w:val="00312B32"/>
    <w:rsid w:val="00312CFA"/>
    <w:rsid w:val="003151BC"/>
    <w:rsid w:val="00316F27"/>
    <w:rsid w:val="00325C82"/>
    <w:rsid w:val="00331BB5"/>
    <w:rsid w:val="0033283B"/>
    <w:rsid w:val="00333F75"/>
    <w:rsid w:val="0033587F"/>
    <w:rsid w:val="00337300"/>
    <w:rsid w:val="003373F7"/>
    <w:rsid w:val="00337745"/>
    <w:rsid w:val="00341849"/>
    <w:rsid w:val="00342341"/>
    <w:rsid w:val="00342DC9"/>
    <w:rsid w:val="00343C34"/>
    <w:rsid w:val="00345210"/>
    <w:rsid w:val="00345D10"/>
    <w:rsid w:val="00347F07"/>
    <w:rsid w:val="003536DB"/>
    <w:rsid w:val="003556C0"/>
    <w:rsid w:val="00355861"/>
    <w:rsid w:val="003570E7"/>
    <w:rsid w:val="00357DA8"/>
    <w:rsid w:val="00365CF4"/>
    <w:rsid w:val="00366CF4"/>
    <w:rsid w:val="003670C3"/>
    <w:rsid w:val="00372ACE"/>
    <w:rsid w:val="00372FFD"/>
    <w:rsid w:val="003744E5"/>
    <w:rsid w:val="00377BE4"/>
    <w:rsid w:val="003814F9"/>
    <w:rsid w:val="00385784"/>
    <w:rsid w:val="00386B45"/>
    <w:rsid w:val="00386F1C"/>
    <w:rsid w:val="00387EAC"/>
    <w:rsid w:val="003914E0"/>
    <w:rsid w:val="00391547"/>
    <w:rsid w:val="00395B97"/>
    <w:rsid w:val="003A0B72"/>
    <w:rsid w:val="003A43EC"/>
    <w:rsid w:val="003A5C03"/>
    <w:rsid w:val="003A5F0A"/>
    <w:rsid w:val="003A6F12"/>
    <w:rsid w:val="003A75B2"/>
    <w:rsid w:val="003B08FF"/>
    <w:rsid w:val="003B22D1"/>
    <w:rsid w:val="003B420F"/>
    <w:rsid w:val="003B6610"/>
    <w:rsid w:val="003B6A1D"/>
    <w:rsid w:val="003B6CC2"/>
    <w:rsid w:val="003B7A26"/>
    <w:rsid w:val="003B7B9A"/>
    <w:rsid w:val="003B7D6A"/>
    <w:rsid w:val="003B7F11"/>
    <w:rsid w:val="003C17D5"/>
    <w:rsid w:val="003C2348"/>
    <w:rsid w:val="003C5016"/>
    <w:rsid w:val="003C6A4E"/>
    <w:rsid w:val="003D0C78"/>
    <w:rsid w:val="003D12D7"/>
    <w:rsid w:val="003D4701"/>
    <w:rsid w:val="003D4E15"/>
    <w:rsid w:val="003D4F48"/>
    <w:rsid w:val="003E11EE"/>
    <w:rsid w:val="003E2E91"/>
    <w:rsid w:val="003E7CC9"/>
    <w:rsid w:val="003F095A"/>
    <w:rsid w:val="003F15E2"/>
    <w:rsid w:val="003F325D"/>
    <w:rsid w:val="003F4581"/>
    <w:rsid w:val="003F7AFE"/>
    <w:rsid w:val="00400C78"/>
    <w:rsid w:val="00401E79"/>
    <w:rsid w:val="00403E4A"/>
    <w:rsid w:val="00404CDD"/>
    <w:rsid w:val="004070EA"/>
    <w:rsid w:val="00407A6A"/>
    <w:rsid w:val="00410A05"/>
    <w:rsid w:val="00411B0E"/>
    <w:rsid w:val="004129F3"/>
    <w:rsid w:val="0041562F"/>
    <w:rsid w:val="00421B2B"/>
    <w:rsid w:val="00424BE9"/>
    <w:rsid w:val="004253A3"/>
    <w:rsid w:val="004302C8"/>
    <w:rsid w:val="004303F7"/>
    <w:rsid w:val="00431584"/>
    <w:rsid w:val="004358DB"/>
    <w:rsid w:val="004368C0"/>
    <w:rsid w:val="0044037E"/>
    <w:rsid w:val="0044154B"/>
    <w:rsid w:val="00441AD4"/>
    <w:rsid w:val="00442F79"/>
    <w:rsid w:val="00447188"/>
    <w:rsid w:val="00447314"/>
    <w:rsid w:val="00447783"/>
    <w:rsid w:val="00447837"/>
    <w:rsid w:val="0045373D"/>
    <w:rsid w:val="00453CF2"/>
    <w:rsid w:val="00454511"/>
    <w:rsid w:val="0045530F"/>
    <w:rsid w:val="00455B6C"/>
    <w:rsid w:val="0045686C"/>
    <w:rsid w:val="00460E98"/>
    <w:rsid w:val="004613CC"/>
    <w:rsid w:val="0046221A"/>
    <w:rsid w:val="00463216"/>
    <w:rsid w:val="00463963"/>
    <w:rsid w:val="00465823"/>
    <w:rsid w:val="004661ED"/>
    <w:rsid w:val="004673FB"/>
    <w:rsid w:val="00471838"/>
    <w:rsid w:val="00472F4C"/>
    <w:rsid w:val="0047362A"/>
    <w:rsid w:val="0047493E"/>
    <w:rsid w:val="004755FC"/>
    <w:rsid w:val="00475D77"/>
    <w:rsid w:val="00484D91"/>
    <w:rsid w:val="0048570E"/>
    <w:rsid w:val="00487D6C"/>
    <w:rsid w:val="00490EDA"/>
    <w:rsid w:val="0049159C"/>
    <w:rsid w:val="00493F06"/>
    <w:rsid w:val="00496DA4"/>
    <w:rsid w:val="004979D4"/>
    <w:rsid w:val="004A027E"/>
    <w:rsid w:val="004A3175"/>
    <w:rsid w:val="004A36D7"/>
    <w:rsid w:val="004A62BA"/>
    <w:rsid w:val="004A6691"/>
    <w:rsid w:val="004A6A0F"/>
    <w:rsid w:val="004A7B9A"/>
    <w:rsid w:val="004B184D"/>
    <w:rsid w:val="004B2999"/>
    <w:rsid w:val="004B325C"/>
    <w:rsid w:val="004B4BE3"/>
    <w:rsid w:val="004B59B9"/>
    <w:rsid w:val="004B5EEE"/>
    <w:rsid w:val="004C150A"/>
    <w:rsid w:val="004C3ECB"/>
    <w:rsid w:val="004C6F08"/>
    <w:rsid w:val="004C7F0E"/>
    <w:rsid w:val="004D0E8D"/>
    <w:rsid w:val="004D1F20"/>
    <w:rsid w:val="004D2459"/>
    <w:rsid w:val="004D344D"/>
    <w:rsid w:val="004D41A1"/>
    <w:rsid w:val="004D4B03"/>
    <w:rsid w:val="004D4E7F"/>
    <w:rsid w:val="004D7748"/>
    <w:rsid w:val="004E011D"/>
    <w:rsid w:val="004E2752"/>
    <w:rsid w:val="004E2A8E"/>
    <w:rsid w:val="004E4032"/>
    <w:rsid w:val="004E471B"/>
    <w:rsid w:val="004E497C"/>
    <w:rsid w:val="004E5A13"/>
    <w:rsid w:val="004E7E9D"/>
    <w:rsid w:val="004F02DC"/>
    <w:rsid w:val="004F080E"/>
    <w:rsid w:val="004F1473"/>
    <w:rsid w:val="004F2AEE"/>
    <w:rsid w:val="004F4CA8"/>
    <w:rsid w:val="004F4E32"/>
    <w:rsid w:val="004F51A9"/>
    <w:rsid w:val="004F6DB1"/>
    <w:rsid w:val="004F7673"/>
    <w:rsid w:val="0050221F"/>
    <w:rsid w:val="00502796"/>
    <w:rsid w:val="00502C7E"/>
    <w:rsid w:val="0050306D"/>
    <w:rsid w:val="00503F32"/>
    <w:rsid w:val="00506A19"/>
    <w:rsid w:val="00507316"/>
    <w:rsid w:val="00512151"/>
    <w:rsid w:val="005122D7"/>
    <w:rsid w:val="00515D59"/>
    <w:rsid w:val="0052049E"/>
    <w:rsid w:val="00520D90"/>
    <w:rsid w:val="00524BF6"/>
    <w:rsid w:val="00524C42"/>
    <w:rsid w:val="00525142"/>
    <w:rsid w:val="00525270"/>
    <w:rsid w:val="00525ADE"/>
    <w:rsid w:val="00527756"/>
    <w:rsid w:val="00530B6D"/>
    <w:rsid w:val="00530D62"/>
    <w:rsid w:val="005328D4"/>
    <w:rsid w:val="00532929"/>
    <w:rsid w:val="00533052"/>
    <w:rsid w:val="005341B3"/>
    <w:rsid w:val="005360B0"/>
    <w:rsid w:val="0053662F"/>
    <w:rsid w:val="00540736"/>
    <w:rsid w:val="0054238D"/>
    <w:rsid w:val="00543345"/>
    <w:rsid w:val="0054368C"/>
    <w:rsid w:val="00543920"/>
    <w:rsid w:val="00544046"/>
    <w:rsid w:val="005442FD"/>
    <w:rsid w:val="00552905"/>
    <w:rsid w:val="005529AC"/>
    <w:rsid w:val="00554159"/>
    <w:rsid w:val="00555450"/>
    <w:rsid w:val="005574F8"/>
    <w:rsid w:val="00560975"/>
    <w:rsid w:val="00560A11"/>
    <w:rsid w:val="00562595"/>
    <w:rsid w:val="00562668"/>
    <w:rsid w:val="0056633C"/>
    <w:rsid w:val="00566D81"/>
    <w:rsid w:val="00570150"/>
    <w:rsid w:val="00571E42"/>
    <w:rsid w:val="00572009"/>
    <w:rsid w:val="00572726"/>
    <w:rsid w:val="00572CA1"/>
    <w:rsid w:val="00572D13"/>
    <w:rsid w:val="00574CD5"/>
    <w:rsid w:val="00577C2B"/>
    <w:rsid w:val="00577C8A"/>
    <w:rsid w:val="00580EEF"/>
    <w:rsid w:val="00583AE6"/>
    <w:rsid w:val="00584AA2"/>
    <w:rsid w:val="00585969"/>
    <w:rsid w:val="005862CD"/>
    <w:rsid w:val="00590AD4"/>
    <w:rsid w:val="00593D4C"/>
    <w:rsid w:val="00594C68"/>
    <w:rsid w:val="005953DB"/>
    <w:rsid w:val="0059597B"/>
    <w:rsid w:val="005A0BF7"/>
    <w:rsid w:val="005A1C58"/>
    <w:rsid w:val="005A23D0"/>
    <w:rsid w:val="005A41B0"/>
    <w:rsid w:val="005A4C05"/>
    <w:rsid w:val="005A6D56"/>
    <w:rsid w:val="005A6EFE"/>
    <w:rsid w:val="005B0DEE"/>
    <w:rsid w:val="005B45E8"/>
    <w:rsid w:val="005B4814"/>
    <w:rsid w:val="005B4856"/>
    <w:rsid w:val="005C2276"/>
    <w:rsid w:val="005C5034"/>
    <w:rsid w:val="005C53E3"/>
    <w:rsid w:val="005C56FC"/>
    <w:rsid w:val="005C7BE9"/>
    <w:rsid w:val="005D2913"/>
    <w:rsid w:val="005D312C"/>
    <w:rsid w:val="005D32D1"/>
    <w:rsid w:val="005D3BDD"/>
    <w:rsid w:val="005D3DAB"/>
    <w:rsid w:val="005D449A"/>
    <w:rsid w:val="005D4A01"/>
    <w:rsid w:val="005D711E"/>
    <w:rsid w:val="005E091C"/>
    <w:rsid w:val="005E4036"/>
    <w:rsid w:val="005E6542"/>
    <w:rsid w:val="005F11C3"/>
    <w:rsid w:val="005F2FDE"/>
    <w:rsid w:val="005F4866"/>
    <w:rsid w:val="005F510B"/>
    <w:rsid w:val="005F5A76"/>
    <w:rsid w:val="005F63C7"/>
    <w:rsid w:val="00602BED"/>
    <w:rsid w:val="006032DD"/>
    <w:rsid w:val="00603DEC"/>
    <w:rsid w:val="0060489C"/>
    <w:rsid w:val="00604B7F"/>
    <w:rsid w:val="00606C6D"/>
    <w:rsid w:val="00610E4B"/>
    <w:rsid w:val="00611628"/>
    <w:rsid w:val="00611A5D"/>
    <w:rsid w:val="00611BEC"/>
    <w:rsid w:val="00612D34"/>
    <w:rsid w:val="00615811"/>
    <w:rsid w:val="00615976"/>
    <w:rsid w:val="00616774"/>
    <w:rsid w:val="00616A2C"/>
    <w:rsid w:val="00616B7F"/>
    <w:rsid w:val="0062054F"/>
    <w:rsid w:val="00622745"/>
    <w:rsid w:val="0062372F"/>
    <w:rsid w:val="00623CAD"/>
    <w:rsid w:val="00624B73"/>
    <w:rsid w:val="0062518E"/>
    <w:rsid w:val="00630A68"/>
    <w:rsid w:val="006310A7"/>
    <w:rsid w:val="00631C49"/>
    <w:rsid w:val="00633788"/>
    <w:rsid w:val="00633C46"/>
    <w:rsid w:val="0063590E"/>
    <w:rsid w:val="006374EF"/>
    <w:rsid w:val="00642938"/>
    <w:rsid w:val="00643D44"/>
    <w:rsid w:val="00650F28"/>
    <w:rsid w:val="00652070"/>
    <w:rsid w:val="00652DCA"/>
    <w:rsid w:val="006530A4"/>
    <w:rsid w:val="00653ED4"/>
    <w:rsid w:val="006551F0"/>
    <w:rsid w:val="00660AC3"/>
    <w:rsid w:val="00660BB3"/>
    <w:rsid w:val="00661924"/>
    <w:rsid w:val="006626F0"/>
    <w:rsid w:val="00662F5B"/>
    <w:rsid w:val="006631BF"/>
    <w:rsid w:val="006637C1"/>
    <w:rsid w:val="00664B66"/>
    <w:rsid w:val="006655B4"/>
    <w:rsid w:val="00665DE2"/>
    <w:rsid w:val="00666F5F"/>
    <w:rsid w:val="00667B1B"/>
    <w:rsid w:val="00667EA4"/>
    <w:rsid w:val="006707FD"/>
    <w:rsid w:val="006729B3"/>
    <w:rsid w:val="00673CED"/>
    <w:rsid w:val="006740B5"/>
    <w:rsid w:val="00674FF8"/>
    <w:rsid w:val="006755AE"/>
    <w:rsid w:val="00675C92"/>
    <w:rsid w:val="00680652"/>
    <w:rsid w:val="0068110A"/>
    <w:rsid w:val="00683CB3"/>
    <w:rsid w:val="006847C8"/>
    <w:rsid w:val="006879B9"/>
    <w:rsid w:val="0069227C"/>
    <w:rsid w:val="00695B20"/>
    <w:rsid w:val="006961D3"/>
    <w:rsid w:val="0069689E"/>
    <w:rsid w:val="006979AA"/>
    <w:rsid w:val="006A109E"/>
    <w:rsid w:val="006A2933"/>
    <w:rsid w:val="006A2A6B"/>
    <w:rsid w:val="006A5B08"/>
    <w:rsid w:val="006A5B73"/>
    <w:rsid w:val="006A70C7"/>
    <w:rsid w:val="006B0F3E"/>
    <w:rsid w:val="006B2A7E"/>
    <w:rsid w:val="006B4F42"/>
    <w:rsid w:val="006B559F"/>
    <w:rsid w:val="006C2DB4"/>
    <w:rsid w:val="006C382E"/>
    <w:rsid w:val="006C53DC"/>
    <w:rsid w:val="006C5651"/>
    <w:rsid w:val="006C5A69"/>
    <w:rsid w:val="006C5E54"/>
    <w:rsid w:val="006C6376"/>
    <w:rsid w:val="006C6441"/>
    <w:rsid w:val="006D0AF6"/>
    <w:rsid w:val="006D2529"/>
    <w:rsid w:val="006D3D93"/>
    <w:rsid w:val="006D54B6"/>
    <w:rsid w:val="006D67CA"/>
    <w:rsid w:val="006D76A5"/>
    <w:rsid w:val="006E0A1D"/>
    <w:rsid w:val="006E27DC"/>
    <w:rsid w:val="006E3AAF"/>
    <w:rsid w:val="006E55DA"/>
    <w:rsid w:val="006F0E72"/>
    <w:rsid w:val="006F263C"/>
    <w:rsid w:val="006F38E6"/>
    <w:rsid w:val="006F5840"/>
    <w:rsid w:val="006F78B7"/>
    <w:rsid w:val="0070003E"/>
    <w:rsid w:val="00700E35"/>
    <w:rsid w:val="00701A20"/>
    <w:rsid w:val="00702876"/>
    <w:rsid w:val="00705BAA"/>
    <w:rsid w:val="00711B77"/>
    <w:rsid w:val="00711E8E"/>
    <w:rsid w:val="007120DB"/>
    <w:rsid w:val="0071225C"/>
    <w:rsid w:val="00714B7D"/>
    <w:rsid w:val="00715EBD"/>
    <w:rsid w:val="00716563"/>
    <w:rsid w:val="0071660A"/>
    <w:rsid w:val="007174E7"/>
    <w:rsid w:val="00721F07"/>
    <w:rsid w:val="00723BAE"/>
    <w:rsid w:val="00724126"/>
    <w:rsid w:val="007249A9"/>
    <w:rsid w:val="007253F1"/>
    <w:rsid w:val="00726F4B"/>
    <w:rsid w:val="00727543"/>
    <w:rsid w:val="00730A74"/>
    <w:rsid w:val="007315B1"/>
    <w:rsid w:val="00732036"/>
    <w:rsid w:val="007328B6"/>
    <w:rsid w:val="007332A5"/>
    <w:rsid w:val="00733EF0"/>
    <w:rsid w:val="007348E3"/>
    <w:rsid w:val="00737228"/>
    <w:rsid w:val="00737689"/>
    <w:rsid w:val="007402B5"/>
    <w:rsid w:val="0074181E"/>
    <w:rsid w:val="00743ED9"/>
    <w:rsid w:val="007440DA"/>
    <w:rsid w:val="007465E1"/>
    <w:rsid w:val="007470F6"/>
    <w:rsid w:val="00751D5A"/>
    <w:rsid w:val="0075436F"/>
    <w:rsid w:val="00754677"/>
    <w:rsid w:val="00754950"/>
    <w:rsid w:val="00762880"/>
    <w:rsid w:val="0076323F"/>
    <w:rsid w:val="00763F90"/>
    <w:rsid w:val="00764EEB"/>
    <w:rsid w:val="00765939"/>
    <w:rsid w:val="00765C2D"/>
    <w:rsid w:val="007662CD"/>
    <w:rsid w:val="007678EB"/>
    <w:rsid w:val="0077038C"/>
    <w:rsid w:val="007712A6"/>
    <w:rsid w:val="0077272D"/>
    <w:rsid w:val="00772D43"/>
    <w:rsid w:val="0077615A"/>
    <w:rsid w:val="00776473"/>
    <w:rsid w:val="007804A8"/>
    <w:rsid w:val="00780C82"/>
    <w:rsid w:val="00781450"/>
    <w:rsid w:val="00782F21"/>
    <w:rsid w:val="00783ED3"/>
    <w:rsid w:val="007841F0"/>
    <w:rsid w:val="00785DBE"/>
    <w:rsid w:val="007878DB"/>
    <w:rsid w:val="00787C52"/>
    <w:rsid w:val="00796084"/>
    <w:rsid w:val="0079685D"/>
    <w:rsid w:val="007A0388"/>
    <w:rsid w:val="007A2841"/>
    <w:rsid w:val="007A2A94"/>
    <w:rsid w:val="007A301E"/>
    <w:rsid w:val="007A4351"/>
    <w:rsid w:val="007A4B62"/>
    <w:rsid w:val="007A61DB"/>
    <w:rsid w:val="007A6BE3"/>
    <w:rsid w:val="007A768E"/>
    <w:rsid w:val="007B0AEC"/>
    <w:rsid w:val="007B0B60"/>
    <w:rsid w:val="007B3037"/>
    <w:rsid w:val="007B4C9F"/>
    <w:rsid w:val="007B6780"/>
    <w:rsid w:val="007C0065"/>
    <w:rsid w:val="007C1713"/>
    <w:rsid w:val="007C1C77"/>
    <w:rsid w:val="007C3264"/>
    <w:rsid w:val="007C3551"/>
    <w:rsid w:val="007C3779"/>
    <w:rsid w:val="007C62E8"/>
    <w:rsid w:val="007C7DA4"/>
    <w:rsid w:val="007D2365"/>
    <w:rsid w:val="007D5B22"/>
    <w:rsid w:val="007D7DBE"/>
    <w:rsid w:val="007E1298"/>
    <w:rsid w:val="007E160D"/>
    <w:rsid w:val="007E177E"/>
    <w:rsid w:val="007E26BE"/>
    <w:rsid w:val="007E2BDA"/>
    <w:rsid w:val="007E57FC"/>
    <w:rsid w:val="007E64E9"/>
    <w:rsid w:val="007F17A3"/>
    <w:rsid w:val="007F1A90"/>
    <w:rsid w:val="007F32CE"/>
    <w:rsid w:val="007F386D"/>
    <w:rsid w:val="007F417B"/>
    <w:rsid w:val="00800EB3"/>
    <w:rsid w:val="00802BC0"/>
    <w:rsid w:val="00803C94"/>
    <w:rsid w:val="00805D28"/>
    <w:rsid w:val="00806E34"/>
    <w:rsid w:val="00807825"/>
    <w:rsid w:val="008100E0"/>
    <w:rsid w:val="00811B5A"/>
    <w:rsid w:val="00812E0F"/>
    <w:rsid w:val="008160E7"/>
    <w:rsid w:val="008179CA"/>
    <w:rsid w:val="00822F88"/>
    <w:rsid w:val="00822FC0"/>
    <w:rsid w:val="00823096"/>
    <w:rsid w:val="00824526"/>
    <w:rsid w:val="00825564"/>
    <w:rsid w:val="008255DB"/>
    <w:rsid w:val="0082693C"/>
    <w:rsid w:val="008352EB"/>
    <w:rsid w:val="00840EE1"/>
    <w:rsid w:val="00842B65"/>
    <w:rsid w:val="00843DB2"/>
    <w:rsid w:val="00844EDD"/>
    <w:rsid w:val="00845B1A"/>
    <w:rsid w:val="00846A4A"/>
    <w:rsid w:val="008477BD"/>
    <w:rsid w:val="008479FC"/>
    <w:rsid w:val="00847ABF"/>
    <w:rsid w:val="00852B3F"/>
    <w:rsid w:val="00853013"/>
    <w:rsid w:val="00853391"/>
    <w:rsid w:val="008560B5"/>
    <w:rsid w:val="008608AF"/>
    <w:rsid w:val="008609B1"/>
    <w:rsid w:val="008610C6"/>
    <w:rsid w:val="00861299"/>
    <w:rsid w:val="008623D0"/>
    <w:rsid w:val="0086503D"/>
    <w:rsid w:val="00867680"/>
    <w:rsid w:val="00870385"/>
    <w:rsid w:val="0087112B"/>
    <w:rsid w:val="00871A5F"/>
    <w:rsid w:val="008753A0"/>
    <w:rsid w:val="00877229"/>
    <w:rsid w:val="008776F3"/>
    <w:rsid w:val="00877D9C"/>
    <w:rsid w:val="00877E79"/>
    <w:rsid w:val="00881405"/>
    <w:rsid w:val="00881B8D"/>
    <w:rsid w:val="00882551"/>
    <w:rsid w:val="0088287D"/>
    <w:rsid w:val="008842BB"/>
    <w:rsid w:val="00884D06"/>
    <w:rsid w:val="00884F9C"/>
    <w:rsid w:val="0089499D"/>
    <w:rsid w:val="00895F5D"/>
    <w:rsid w:val="008979FC"/>
    <w:rsid w:val="008A24ED"/>
    <w:rsid w:val="008A39F6"/>
    <w:rsid w:val="008A4A6D"/>
    <w:rsid w:val="008A6947"/>
    <w:rsid w:val="008A6D3A"/>
    <w:rsid w:val="008B3591"/>
    <w:rsid w:val="008B458D"/>
    <w:rsid w:val="008B7506"/>
    <w:rsid w:val="008B7EFD"/>
    <w:rsid w:val="008C234C"/>
    <w:rsid w:val="008C4081"/>
    <w:rsid w:val="008C50CD"/>
    <w:rsid w:val="008C6570"/>
    <w:rsid w:val="008D1F90"/>
    <w:rsid w:val="008D272C"/>
    <w:rsid w:val="008D3758"/>
    <w:rsid w:val="008D468F"/>
    <w:rsid w:val="008D58CF"/>
    <w:rsid w:val="008D598F"/>
    <w:rsid w:val="008D649E"/>
    <w:rsid w:val="008D652C"/>
    <w:rsid w:val="008D6E7B"/>
    <w:rsid w:val="008D7985"/>
    <w:rsid w:val="008E317F"/>
    <w:rsid w:val="008F060A"/>
    <w:rsid w:val="008F1450"/>
    <w:rsid w:val="008F4C91"/>
    <w:rsid w:val="008F5EEA"/>
    <w:rsid w:val="008F7303"/>
    <w:rsid w:val="008F77AC"/>
    <w:rsid w:val="008F7874"/>
    <w:rsid w:val="00901AE0"/>
    <w:rsid w:val="00902B3A"/>
    <w:rsid w:val="00904B1A"/>
    <w:rsid w:val="00910CE6"/>
    <w:rsid w:val="0091358E"/>
    <w:rsid w:val="00913AF7"/>
    <w:rsid w:val="009159A9"/>
    <w:rsid w:val="009171E7"/>
    <w:rsid w:val="00922586"/>
    <w:rsid w:val="0092748D"/>
    <w:rsid w:val="00930EAB"/>
    <w:rsid w:val="00931A20"/>
    <w:rsid w:val="0093288D"/>
    <w:rsid w:val="00933610"/>
    <w:rsid w:val="00934490"/>
    <w:rsid w:val="00941401"/>
    <w:rsid w:val="0094179D"/>
    <w:rsid w:val="009431D8"/>
    <w:rsid w:val="00946BD8"/>
    <w:rsid w:val="00950E08"/>
    <w:rsid w:val="009511FD"/>
    <w:rsid w:val="009518C7"/>
    <w:rsid w:val="00952E78"/>
    <w:rsid w:val="0095376C"/>
    <w:rsid w:val="00953F44"/>
    <w:rsid w:val="009544D5"/>
    <w:rsid w:val="00955EBA"/>
    <w:rsid w:val="00956D45"/>
    <w:rsid w:val="009576E1"/>
    <w:rsid w:val="00961A85"/>
    <w:rsid w:val="00966760"/>
    <w:rsid w:val="009667B8"/>
    <w:rsid w:val="009702F7"/>
    <w:rsid w:val="00970847"/>
    <w:rsid w:val="00971F72"/>
    <w:rsid w:val="009743EC"/>
    <w:rsid w:val="00974CFC"/>
    <w:rsid w:val="009753F9"/>
    <w:rsid w:val="009774FA"/>
    <w:rsid w:val="00977506"/>
    <w:rsid w:val="009802FE"/>
    <w:rsid w:val="00981E8A"/>
    <w:rsid w:val="00982C39"/>
    <w:rsid w:val="00983B73"/>
    <w:rsid w:val="00983F8C"/>
    <w:rsid w:val="009841C8"/>
    <w:rsid w:val="00984A7C"/>
    <w:rsid w:val="00984F8A"/>
    <w:rsid w:val="009873F9"/>
    <w:rsid w:val="009905FA"/>
    <w:rsid w:val="0099176D"/>
    <w:rsid w:val="00992D46"/>
    <w:rsid w:val="00993C15"/>
    <w:rsid w:val="009958F2"/>
    <w:rsid w:val="00996D02"/>
    <w:rsid w:val="00996E6B"/>
    <w:rsid w:val="0099768B"/>
    <w:rsid w:val="00997F69"/>
    <w:rsid w:val="009A4FB2"/>
    <w:rsid w:val="009A7240"/>
    <w:rsid w:val="009A7BD9"/>
    <w:rsid w:val="009B06B9"/>
    <w:rsid w:val="009B0A32"/>
    <w:rsid w:val="009B18BC"/>
    <w:rsid w:val="009B3FE2"/>
    <w:rsid w:val="009B6320"/>
    <w:rsid w:val="009C2A4F"/>
    <w:rsid w:val="009C2B8D"/>
    <w:rsid w:val="009C2C13"/>
    <w:rsid w:val="009C2F19"/>
    <w:rsid w:val="009C426A"/>
    <w:rsid w:val="009C5B4E"/>
    <w:rsid w:val="009D0D63"/>
    <w:rsid w:val="009D4072"/>
    <w:rsid w:val="009E11D4"/>
    <w:rsid w:val="009E1385"/>
    <w:rsid w:val="009E19F3"/>
    <w:rsid w:val="009E1B2C"/>
    <w:rsid w:val="009E2725"/>
    <w:rsid w:val="009E3040"/>
    <w:rsid w:val="009E333E"/>
    <w:rsid w:val="009E3341"/>
    <w:rsid w:val="009F00B4"/>
    <w:rsid w:val="009F13DB"/>
    <w:rsid w:val="009F1CB4"/>
    <w:rsid w:val="009F1CFF"/>
    <w:rsid w:val="009F2AEF"/>
    <w:rsid w:val="009F2E76"/>
    <w:rsid w:val="009F38A6"/>
    <w:rsid w:val="009F6B56"/>
    <w:rsid w:val="009F7E40"/>
    <w:rsid w:val="00A00BC9"/>
    <w:rsid w:val="00A0128B"/>
    <w:rsid w:val="00A014A9"/>
    <w:rsid w:val="00A01BEB"/>
    <w:rsid w:val="00A02541"/>
    <w:rsid w:val="00A03576"/>
    <w:rsid w:val="00A05B3F"/>
    <w:rsid w:val="00A1294F"/>
    <w:rsid w:val="00A136ED"/>
    <w:rsid w:val="00A13BC4"/>
    <w:rsid w:val="00A1468B"/>
    <w:rsid w:val="00A154D5"/>
    <w:rsid w:val="00A16A46"/>
    <w:rsid w:val="00A16FFD"/>
    <w:rsid w:val="00A20E5D"/>
    <w:rsid w:val="00A21885"/>
    <w:rsid w:val="00A24461"/>
    <w:rsid w:val="00A250C7"/>
    <w:rsid w:val="00A25FF6"/>
    <w:rsid w:val="00A26842"/>
    <w:rsid w:val="00A2797F"/>
    <w:rsid w:val="00A318C1"/>
    <w:rsid w:val="00A34542"/>
    <w:rsid w:val="00A34B11"/>
    <w:rsid w:val="00A3720D"/>
    <w:rsid w:val="00A423A1"/>
    <w:rsid w:val="00A511B6"/>
    <w:rsid w:val="00A511DF"/>
    <w:rsid w:val="00A52195"/>
    <w:rsid w:val="00A53CCA"/>
    <w:rsid w:val="00A57F52"/>
    <w:rsid w:val="00A6053F"/>
    <w:rsid w:val="00A607F6"/>
    <w:rsid w:val="00A60A21"/>
    <w:rsid w:val="00A62C55"/>
    <w:rsid w:val="00A65986"/>
    <w:rsid w:val="00A65DBB"/>
    <w:rsid w:val="00A67138"/>
    <w:rsid w:val="00A67426"/>
    <w:rsid w:val="00A700B2"/>
    <w:rsid w:val="00A7014F"/>
    <w:rsid w:val="00A72E95"/>
    <w:rsid w:val="00A74375"/>
    <w:rsid w:val="00A80895"/>
    <w:rsid w:val="00A82F16"/>
    <w:rsid w:val="00A84723"/>
    <w:rsid w:val="00A86E96"/>
    <w:rsid w:val="00A8747D"/>
    <w:rsid w:val="00A903F8"/>
    <w:rsid w:val="00A908AE"/>
    <w:rsid w:val="00A91281"/>
    <w:rsid w:val="00A91380"/>
    <w:rsid w:val="00A913E4"/>
    <w:rsid w:val="00A918CB"/>
    <w:rsid w:val="00A91A43"/>
    <w:rsid w:val="00A93244"/>
    <w:rsid w:val="00A93BCE"/>
    <w:rsid w:val="00A940CF"/>
    <w:rsid w:val="00A94B00"/>
    <w:rsid w:val="00A97CFC"/>
    <w:rsid w:val="00AA0AC5"/>
    <w:rsid w:val="00AA1668"/>
    <w:rsid w:val="00AA219D"/>
    <w:rsid w:val="00AA3BA9"/>
    <w:rsid w:val="00AA3DBB"/>
    <w:rsid w:val="00AA579B"/>
    <w:rsid w:val="00AA6656"/>
    <w:rsid w:val="00AA6EEE"/>
    <w:rsid w:val="00AA7255"/>
    <w:rsid w:val="00AA7C23"/>
    <w:rsid w:val="00AB0005"/>
    <w:rsid w:val="00AB1DF1"/>
    <w:rsid w:val="00AB55C9"/>
    <w:rsid w:val="00AB6F9B"/>
    <w:rsid w:val="00AB7355"/>
    <w:rsid w:val="00AB73B6"/>
    <w:rsid w:val="00AC0A59"/>
    <w:rsid w:val="00AC3644"/>
    <w:rsid w:val="00AC4991"/>
    <w:rsid w:val="00AC62F0"/>
    <w:rsid w:val="00AC6993"/>
    <w:rsid w:val="00AD1279"/>
    <w:rsid w:val="00AD237B"/>
    <w:rsid w:val="00AD4063"/>
    <w:rsid w:val="00AD5E9A"/>
    <w:rsid w:val="00AD7E26"/>
    <w:rsid w:val="00AE0C58"/>
    <w:rsid w:val="00AE56D0"/>
    <w:rsid w:val="00AE711D"/>
    <w:rsid w:val="00AF0C4E"/>
    <w:rsid w:val="00AF0E8F"/>
    <w:rsid w:val="00AF1AF0"/>
    <w:rsid w:val="00AF29FC"/>
    <w:rsid w:val="00AF2DE0"/>
    <w:rsid w:val="00AF35B8"/>
    <w:rsid w:val="00AF46A9"/>
    <w:rsid w:val="00AF5C87"/>
    <w:rsid w:val="00AF6454"/>
    <w:rsid w:val="00AF6720"/>
    <w:rsid w:val="00B015A7"/>
    <w:rsid w:val="00B0243A"/>
    <w:rsid w:val="00B038DF"/>
    <w:rsid w:val="00B03F02"/>
    <w:rsid w:val="00B058A4"/>
    <w:rsid w:val="00B07477"/>
    <w:rsid w:val="00B12714"/>
    <w:rsid w:val="00B12FC6"/>
    <w:rsid w:val="00B13E53"/>
    <w:rsid w:val="00B14299"/>
    <w:rsid w:val="00B1574B"/>
    <w:rsid w:val="00B15D41"/>
    <w:rsid w:val="00B16149"/>
    <w:rsid w:val="00B16344"/>
    <w:rsid w:val="00B17DE1"/>
    <w:rsid w:val="00B210C1"/>
    <w:rsid w:val="00B218D8"/>
    <w:rsid w:val="00B24C56"/>
    <w:rsid w:val="00B24F1A"/>
    <w:rsid w:val="00B25ACB"/>
    <w:rsid w:val="00B30580"/>
    <w:rsid w:val="00B30701"/>
    <w:rsid w:val="00B315C5"/>
    <w:rsid w:val="00B31F97"/>
    <w:rsid w:val="00B333AE"/>
    <w:rsid w:val="00B33DC1"/>
    <w:rsid w:val="00B34D2A"/>
    <w:rsid w:val="00B40CDD"/>
    <w:rsid w:val="00B4107F"/>
    <w:rsid w:val="00B43758"/>
    <w:rsid w:val="00B45FA9"/>
    <w:rsid w:val="00B46489"/>
    <w:rsid w:val="00B52403"/>
    <w:rsid w:val="00B52D23"/>
    <w:rsid w:val="00B53D6C"/>
    <w:rsid w:val="00B611F7"/>
    <w:rsid w:val="00B61225"/>
    <w:rsid w:val="00B61AB9"/>
    <w:rsid w:val="00B71A07"/>
    <w:rsid w:val="00B72B99"/>
    <w:rsid w:val="00B72F37"/>
    <w:rsid w:val="00B73B4D"/>
    <w:rsid w:val="00B75A30"/>
    <w:rsid w:val="00B80736"/>
    <w:rsid w:val="00B817C4"/>
    <w:rsid w:val="00B827EE"/>
    <w:rsid w:val="00B82BA6"/>
    <w:rsid w:val="00B83621"/>
    <w:rsid w:val="00B8418C"/>
    <w:rsid w:val="00B874CC"/>
    <w:rsid w:val="00B9257C"/>
    <w:rsid w:val="00B9361F"/>
    <w:rsid w:val="00B9452E"/>
    <w:rsid w:val="00B96C09"/>
    <w:rsid w:val="00BA0A57"/>
    <w:rsid w:val="00BA5CC8"/>
    <w:rsid w:val="00BA61BE"/>
    <w:rsid w:val="00BA70A1"/>
    <w:rsid w:val="00BA7BFC"/>
    <w:rsid w:val="00BB1526"/>
    <w:rsid w:val="00BB20B9"/>
    <w:rsid w:val="00BB22CD"/>
    <w:rsid w:val="00BB3784"/>
    <w:rsid w:val="00BB3BF2"/>
    <w:rsid w:val="00BB681E"/>
    <w:rsid w:val="00BB7988"/>
    <w:rsid w:val="00BC0D77"/>
    <w:rsid w:val="00BC27D8"/>
    <w:rsid w:val="00BC2F68"/>
    <w:rsid w:val="00BC5104"/>
    <w:rsid w:val="00BC72D9"/>
    <w:rsid w:val="00BD05DB"/>
    <w:rsid w:val="00BD2278"/>
    <w:rsid w:val="00BD4098"/>
    <w:rsid w:val="00BD4B28"/>
    <w:rsid w:val="00BD4B4E"/>
    <w:rsid w:val="00BD5A1F"/>
    <w:rsid w:val="00BE0416"/>
    <w:rsid w:val="00BE246E"/>
    <w:rsid w:val="00BE4C47"/>
    <w:rsid w:val="00BE5E9E"/>
    <w:rsid w:val="00BE68A4"/>
    <w:rsid w:val="00BE6F44"/>
    <w:rsid w:val="00BF09D2"/>
    <w:rsid w:val="00BF462A"/>
    <w:rsid w:val="00BF6A36"/>
    <w:rsid w:val="00BF777A"/>
    <w:rsid w:val="00C00D54"/>
    <w:rsid w:val="00C00D70"/>
    <w:rsid w:val="00C02BFD"/>
    <w:rsid w:val="00C0307C"/>
    <w:rsid w:val="00C03124"/>
    <w:rsid w:val="00C0352C"/>
    <w:rsid w:val="00C03658"/>
    <w:rsid w:val="00C05376"/>
    <w:rsid w:val="00C07A6E"/>
    <w:rsid w:val="00C10AC0"/>
    <w:rsid w:val="00C11CAE"/>
    <w:rsid w:val="00C12093"/>
    <w:rsid w:val="00C1571D"/>
    <w:rsid w:val="00C1579D"/>
    <w:rsid w:val="00C251F0"/>
    <w:rsid w:val="00C262D4"/>
    <w:rsid w:val="00C30774"/>
    <w:rsid w:val="00C309C6"/>
    <w:rsid w:val="00C32529"/>
    <w:rsid w:val="00C33AA0"/>
    <w:rsid w:val="00C35A3F"/>
    <w:rsid w:val="00C40A2B"/>
    <w:rsid w:val="00C413B8"/>
    <w:rsid w:val="00C41E00"/>
    <w:rsid w:val="00C43E1B"/>
    <w:rsid w:val="00C459C2"/>
    <w:rsid w:val="00C460E7"/>
    <w:rsid w:val="00C46421"/>
    <w:rsid w:val="00C51A5C"/>
    <w:rsid w:val="00C54B55"/>
    <w:rsid w:val="00C54F11"/>
    <w:rsid w:val="00C55138"/>
    <w:rsid w:val="00C6080F"/>
    <w:rsid w:val="00C647A0"/>
    <w:rsid w:val="00C64F10"/>
    <w:rsid w:val="00C66853"/>
    <w:rsid w:val="00C7065C"/>
    <w:rsid w:val="00C71B98"/>
    <w:rsid w:val="00C726B8"/>
    <w:rsid w:val="00C74D84"/>
    <w:rsid w:val="00C7563D"/>
    <w:rsid w:val="00C75FF8"/>
    <w:rsid w:val="00C761D1"/>
    <w:rsid w:val="00C76BEF"/>
    <w:rsid w:val="00C76D46"/>
    <w:rsid w:val="00C80505"/>
    <w:rsid w:val="00C816F6"/>
    <w:rsid w:val="00C81FB6"/>
    <w:rsid w:val="00C832FE"/>
    <w:rsid w:val="00C85BB1"/>
    <w:rsid w:val="00C86721"/>
    <w:rsid w:val="00C86CA0"/>
    <w:rsid w:val="00C871B8"/>
    <w:rsid w:val="00C87FB9"/>
    <w:rsid w:val="00C91678"/>
    <w:rsid w:val="00C92B20"/>
    <w:rsid w:val="00C96FF4"/>
    <w:rsid w:val="00CA197A"/>
    <w:rsid w:val="00CA1F67"/>
    <w:rsid w:val="00CA3255"/>
    <w:rsid w:val="00CA75A6"/>
    <w:rsid w:val="00CA7771"/>
    <w:rsid w:val="00CB0E1A"/>
    <w:rsid w:val="00CB1B52"/>
    <w:rsid w:val="00CB1B75"/>
    <w:rsid w:val="00CB337D"/>
    <w:rsid w:val="00CB4560"/>
    <w:rsid w:val="00CC033A"/>
    <w:rsid w:val="00CC2CE2"/>
    <w:rsid w:val="00CC3A5B"/>
    <w:rsid w:val="00CC4411"/>
    <w:rsid w:val="00CC4E23"/>
    <w:rsid w:val="00CD192E"/>
    <w:rsid w:val="00CD27AB"/>
    <w:rsid w:val="00CD2978"/>
    <w:rsid w:val="00CD2E18"/>
    <w:rsid w:val="00CD4D2A"/>
    <w:rsid w:val="00CD6045"/>
    <w:rsid w:val="00CD692B"/>
    <w:rsid w:val="00CD7C53"/>
    <w:rsid w:val="00CD7DB2"/>
    <w:rsid w:val="00CE0535"/>
    <w:rsid w:val="00CE0EE8"/>
    <w:rsid w:val="00CE3DFC"/>
    <w:rsid w:val="00CE5620"/>
    <w:rsid w:val="00CE56A1"/>
    <w:rsid w:val="00CE5DA6"/>
    <w:rsid w:val="00CE633B"/>
    <w:rsid w:val="00CF02BA"/>
    <w:rsid w:val="00CF2127"/>
    <w:rsid w:val="00CF225E"/>
    <w:rsid w:val="00CF30FD"/>
    <w:rsid w:val="00CF3B10"/>
    <w:rsid w:val="00CF4002"/>
    <w:rsid w:val="00CF56D8"/>
    <w:rsid w:val="00CF78D2"/>
    <w:rsid w:val="00CF7FD7"/>
    <w:rsid w:val="00D01170"/>
    <w:rsid w:val="00D0277C"/>
    <w:rsid w:val="00D02D87"/>
    <w:rsid w:val="00D0600C"/>
    <w:rsid w:val="00D11B1A"/>
    <w:rsid w:val="00D13CB4"/>
    <w:rsid w:val="00D157BB"/>
    <w:rsid w:val="00D15F69"/>
    <w:rsid w:val="00D17524"/>
    <w:rsid w:val="00D2104D"/>
    <w:rsid w:val="00D21652"/>
    <w:rsid w:val="00D21F73"/>
    <w:rsid w:val="00D23722"/>
    <w:rsid w:val="00D2484C"/>
    <w:rsid w:val="00D279E2"/>
    <w:rsid w:val="00D27B2B"/>
    <w:rsid w:val="00D3000D"/>
    <w:rsid w:val="00D303F6"/>
    <w:rsid w:val="00D324B4"/>
    <w:rsid w:val="00D35F89"/>
    <w:rsid w:val="00D3699C"/>
    <w:rsid w:val="00D40745"/>
    <w:rsid w:val="00D419B4"/>
    <w:rsid w:val="00D440F5"/>
    <w:rsid w:val="00D44303"/>
    <w:rsid w:val="00D44F82"/>
    <w:rsid w:val="00D45858"/>
    <w:rsid w:val="00D458B9"/>
    <w:rsid w:val="00D45B8F"/>
    <w:rsid w:val="00D507F2"/>
    <w:rsid w:val="00D51F40"/>
    <w:rsid w:val="00D52C86"/>
    <w:rsid w:val="00D542B7"/>
    <w:rsid w:val="00D55747"/>
    <w:rsid w:val="00D610A7"/>
    <w:rsid w:val="00D62A9D"/>
    <w:rsid w:val="00D62DC7"/>
    <w:rsid w:val="00D64F2E"/>
    <w:rsid w:val="00D66C17"/>
    <w:rsid w:val="00D7070E"/>
    <w:rsid w:val="00D72159"/>
    <w:rsid w:val="00D73C95"/>
    <w:rsid w:val="00D73DC2"/>
    <w:rsid w:val="00D74625"/>
    <w:rsid w:val="00D756C0"/>
    <w:rsid w:val="00D806F3"/>
    <w:rsid w:val="00D80E82"/>
    <w:rsid w:val="00D8296E"/>
    <w:rsid w:val="00D85039"/>
    <w:rsid w:val="00D85FCC"/>
    <w:rsid w:val="00D903C3"/>
    <w:rsid w:val="00D9184A"/>
    <w:rsid w:val="00D92DCB"/>
    <w:rsid w:val="00D955D9"/>
    <w:rsid w:val="00D9561D"/>
    <w:rsid w:val="00D96D5E"/>
    <w:rsid w:val="00D9732D"/>
    <w:rsid w:val="00D97B55"/>
    <w:rsid w:val="00DA0D7A"/>
    <w:rsid w:val="00DA103F"/>
    <w:rsid w:val="00DA1B0B"/>
    <w:rsid w:val="00DA1E05"/>
    <w:rsid w:val="00DA2B89"/>
    <w:rsid w:val="00DA694D"/>
    <w:rsid w:val="00DB0476"/>
    <w:rsid w:val="00DB0657"/>
    <w:rsid w:val="00DB3235"/>
    <w:rsid w:val="00DB3847"/>
    <w:rsid w:val="00DB4384"/>
    <w:rsid w:val="00DB637F"/>
    <w:rsid w:val="00DB6A3F"/>
    <w:rsid w:val="00DB764B"/>
    <w:rsid w:val="00DC066E"/>
    <w:rsid w:val="00DC0EC2"/>
    <w:rsid w:val="00DC2277"/>
    <w:rsid w:val="00DC4CAF"/>
    <w:rsid w:val="00DC5BA1"/>
    <w:rsid w:val="00DC5EE3"/>
    <w:rsid w:val="00DC62E6"/>
    <w:rsid w:val="00DD0EED"/>
    <w:rsid w:val="00DD2577"/>
    <w:rsid w:val="00DD3523"/>
    <w:rsid w:val="00DE0DDB"/>
    <w:rsid w:val="00DE60BA"/>
    <w:rsid w:val="00DE6AB1"/>
    <w:rsid w:val="00DF0C82"/>
    <w:rsid w:val="00DF2908"/>
    <w:rsid w:val="00DF2D60"/>
    <w:rsid w:val="00DF3118"/>
    <w:rsid w:val="00DF46B6"/>
    <w:rsid w:val="00DF4817"/>
    <w:rsid w:val="00DF507B"/>
    <w:rsid w:val="00DF52C4"/>
    <w:rsid w:val="00DF62B9"/>
    <w:rsid w:val="00E04530"/>
    <w:rsid w:val="00E055B8"/>
    <w:rsid w:val="00E1055B"/>
    <w:rsid w:val="00E1112E"/>
    <w:rsid w:val="00E11F1B"/>
    <w:rsid w:val="00E147D3"/>
    <w:rsid w:val="00E16257"/>
    <w:rsid w:val="00E16B9C"/>
    <w:rsid w:val="00E17858"/>
    <w:rsid w:val="00E20AA6"/>
    <w:rsid w:val="00E22116"/>
    <w:rsid w:val="00E22DC8"/>
    <w:rsid w:val="00E248E7"/>
    <w:rsid w:val="00E24C56"/>
    <w:rsid w:val="00E300ED"/>
    <w:rsid w:val="00E320B2"/>
    <w:rsid w:val="00E327CD"/>
    <w:rsid w:val="00E32DA6"/>
    <w:rsid w:val="00E33404"/>
    <w:rsid w:val="00E36895"/>
    <w:rsid w:val="00E36D25"/>
    <w:rsid w:val="00E36DD3"/>
    <w:rsid w:val="00E40150"/>
    <w:rsid w:val="00E409BD"/>
    <w:rsid w:val="00E4167B"/>
    <w:rsid w:val="00E41F71"/>
    <w:rsid w:val="00E420E3"/>
    <w:rsid w:val="00E42BF7"/>
    <w:rsid w:val="00E44BBC"/>
    <w:rsid w:val="00E47D6B"/>
    <w:rsid w:val="00E521F3"/>
    <w:rsid w:val="00E550BE"/>
    <w:rsid w:val="00E5639E"/>
    <w:rsid w:val="00E56C09"/>
    <w:rsid w:val="00E622F5"/>
    <w:rsid w:val="00E62B6C"/>
    <w:rsid w:val="00E62D68"/>
    <w:rsid w:val="00E631E6"/>
    <w:rsid w:val="00E634A7"/>
    <w:rsid w:val="00E70429"/>
    <w:rsid w:val="00E727A0"/>
    <w:rsid w:val="00E730E3"/>
    <w:rsid w:val="00E73659"/>
    <w:rsid w:val="00E753DA"/>
    <w:rsid w:val="00E75A4D"/>
    <w:rsid w:val="00E7784D"/>
    <w:rsid w:val="00E83777"/>
    <w:rsid w:val="00E84783"/>
    <w:rsid w:val="00E85426"/>
    <w:rsid w:val="00E9118C"/>
    <w:rsid w:val="00E955FA"/>
    <w:rsid w:val="00E97DA7"/>
    <w:rsid w:val="00EA4BDB"/>
    <w:rsid w:val="00EA603A"/>
    <w:rsid w:val="00EA6709"/>
    <w:rsid w:val="00EA6BA2"/>
    <w:rsid w:val="00EB0828"/>
    <w:rsid w:val="00EB2947"/>
    <w:rsid w:val="00EB2D55"/>
    <w:rsid w:val="00EB53C9"/>
    <w:rsid w:val="00EB79E2"/>
    <w:rsid w:val="00EB7A9A"/>
    <w:rsid w:val="00EC0B0A"/>
    <w:rsid w:val="00EC1CEB"/>
    <w:rsid w:val="00EC20BE"/>
    <w:rsid w:val="00EC3034"/>
    <w:rsid w:val="00EC49C5"/>
    <w:rsid w:val="00EC4D2A"/>
    <w:rsid w:val="00EC53C5"/>
    <w:rsid w:val="00EC7F7F"/>
    <w:rsid w:val="00ED0CAA"/>
    <w:rsid w:val="00ED1F9C"/>
    <w:rsid w:val="00ED422B"/>
    <w:rsid w:val="00ED4ABD"/>
    <w:rsid w:val="00ED6830"/>
    <w:rsid w:val="00ED6A80"/>
    <w:rsid w:val="00ED71F1"/>
    <w:rsid w:val="00EE26B3"/>
    <w:rsid w:val="00EE34AA"/>
    <w:rsid w:val="00EE3C6B"/>
    <w:rsid w:val="00EE3FE5"/>
    <w:rsid w:val="00EE42B5"/>
    <w:rsid w:val="00EE4960"/>
    <w:rsid w:val="00EF0AA0"/>
    <w:rsid w:val="00EF3427"/>
    <w:rsid w:val="00F0309E"/>
    <w:rsid w:val="00F0375A"/>
    <w:rsid w:val="00F06C3F"/>
    <w:rsid w:val="00F1019B"/>
    <w:rsid w:val="00F111FB"/>
    <w:rsid w:val="00F119CF"/>
    <w:rsid w:val="00F13CA4"/>
    <w:rsid w:val="00F13DF8"/>
    <w:rsid w:val="00F1620E"/>
    <w:rsid w:val="00F163C1"/>
    <w:rsid w:val="00F17E44"/>
    <w:rsid w:val="00F219A1"/>
    <w:rsid w:val="00F22081"/>
    <w:rsid w:val="00F23A88"/>
    <w:rsid w:val="00F24A81"/>
    <w:rsid w:val="00F25B7F"/>
    <w:rsid w:val="00F26DD7"/>
    <w:rsid w:val="00F27FC7"/>
    <w:rsid w:val="00F31A7B"/>
    <w:rsid w:val="00F3290F"/>
    <w:rsid w:val="00F339FF"/>
    <w:rsid w:val="00F35ABF"/>
    <w:rsid w:val="00F361A1"/>
    <w:rsid w:val="00F407F6"/>
    <w:rsid w:val="00F4080D"/>
    <w:rsid w:val="00F43DC3"/>
    <w:rsid w:val="00F440F8"/>
    <w:rsid w:val="00F47656"/>
    <w:rsid w:val="00F47B92"/>
    <w:rsid w:val="00F559EA"/>
    <w:rsid w:val="00F579AC"/>
    <w:rsid w:val="00F603CC"/>
    <w:rsid w:val="00F60870"/>
    <w:rsid w:val="00F62BA3"/>
    <w:rsid w:val="00F630B6"/>
    <w:rsid w:val="00F63BC0"/>
    <w:rsid w:val="00F63BCE"/>
    <w:rsid w:val="00F640AC"/>
    <w:rsid w:val="00F659FA"/>
    <w:rsid w:val="00F67EEA"/>
    <w:rsid w:val="00F703D2"/>
    <w:rsid w:val="00F71675"/>
    <w:rsid w:val="00F74D93"/>
    <w:rsid w:val="00F777DE"/>
    <w:rsid w:val="00F779C7"/>
    <w:rsid w:val="00F81138"/>
    <w:rsid w:val="00F825DB"/>
    <w:rsid w:val="00F827CC"/>
    <w:rsid w:val="00F82ADB"/>
    <w:rsid w:val="00F84B94"/>
    <w:rsid w:val="00F84E43"/>
    <w:rsid w:val="00F84E5E"/>
    <w:rsid w:val="00F85647"/>
    <w:rsid w:val="00F86C54"/>
    <w:rsid w:val="00F9010C"/>
    <w:rsid w:val="00F91AB4"/>
    <w:rsid w:val="00F97879"/>
    <w:rsid w:val="00FA0347"/>
    <w:rsid w:val="00FA0B70"/>
    <w:rsid w:val="00FA0DD7"/>
    <w:rsid w:val="00FA11B6"/>
    <w:rsid w:val="00FA3AE0"/>
    <w:rsid w:val="00FA3C2D"/>
    <w:rsid w:val="00FA4620"/>
    <w:rsid w:val="00FA477F"/>
    <w:rsid w:val="00FA569E"/>
    <w:rsid w:val="00FA76EB"/>
    <w:rsid w:val="00FA7734"/>
    <w:rsid w:val="00FB1754"/>
    <w:rsid w:val="00FB212C"/>
    <w:rsid w:val="00FB304F"/>
    <w:rsid w:val="00FB32C1"/>
    <w:rsid w:val="00FC0059"/>
    <w:rsid w:val="00FC1B43"/>
    <w:rsid w:val="00FC25C5"/>
    <w:rsid w:val="00FC313A"/>
    <w:rsid w:val="00FC4156"/>
    <w:rsid w:val="00FC42C8"/>
    <w:rsid w:val="00FD0B37"/>
    <w:rsid w:val="00FD1821"/>
    <w:rsid w:val="00FD1AAD"/>
    <w:rsid w:val="00FD2E41"/>
    <w:rsid w:val="00FD6543"/>
    <w:rsid w:val="00FE4531"/>
    <w:rsid w:val="00FE6108"/>
    <w:rsid w:val="00FF0BCE"/>
    <w:rsid w:val="00FF0DB3"/>
    <w:rsid w:val="00FF0F95"/>
    <w:rsid w:val="00FF1DA1"/>
    <w:rsid w:val="00FF2364"/>
    <w:rsid w:val="00FF450A"/>
    <w:rsid w:val="00FF669B"/>
    <w:rsid w:val="00FF6BB6"/>
    <w:rsid w:val="0404FBE1"/>
    <w:rsid w:val="06C8FAD1"/>
    <w:rsid w:val="08FA4ED9"/>
    <w:rsid w:val="0AD3EC6A"/>
    <w:rsid w:val="0B629A81"/>
    <w:rsid w:val="0C70F4F4"/>
    <w:rsid w:val="0D933EB1"/>
    <w:rsid w:val="1A7A1FE9"/>
    <w:rsid w:val="1BA2AA86"/>
    <w:rsid w:val="21CC907D"/>
    <w:rsid w:val="26A09292"/>
    <w:rsid w:val="2B7A7C2E"/>
    <w:rsid w:val="2BBE01A5"/>
    <w:rsid w:val="2CB76320"/>
    <w:rsid w:val="30789858"/>
    <w:rsid w:val="340DACC8"/>
    <w:rsid w:val="34DA2BF8"/>
    <w:rsid w:val="35E0C8E7"/>
    <w:rsid w:val="3D919091"/>
    <w:rsid w:val="3DBC6EC0"/>
    <w:rsid w:val="3E44D49C"/>
    <w:rsid w:val="3E5C7152"/>
    <w:rsid w:val="40B60FDA"/>
    <w:rsid w:val="42B762AF"/>
    <w:rsid w:val="460B2C8E"/>
    <w:rsid w:val="464E4FB4"/>
    <w:rsid w:val="466E53EE"/>
    <w:rsid w:val="471FC290"/>
    <w:rsid w:val="49BF9E16"/>
    <w:rsid w:val="4A34110B"/>
    <w:rsid w:val="4C1F544D"/>
    <w:rsid w:val="4D8194DC"/>
    <w:rsid w:val="4F29B03E"/>
    <w:rsid w:val="4F660800"/>
    <w:rsid w:val="52543ADC"/>
    <w:rsid w:val="52728144"/>
    <w:rsid w:val="55E9D721"/>
    <w:rsid w:val="5793BA5B"/>
    <w:rsid w:val="5879065E"/>
    <w:rsid w:val="590DBF13"/>
    <w:rsid w:val="5B1CFEBB"/>
    <w:rsid w:val="5BBC3B7F"/>
    <w:rsid w:val="6033F78C"/>
    <w:rsid w:val="60E74868"/>
    <w:rsid w:val="60E8EC50"/>
    <w:rsid w:val="63558935"/>
    <w:rsid w:val="6569B03F"/>
    <w:rsid w:val="669C18BA"/>
    <w:rsid w:val="6A7E5B02"/>
    <w:rsid w:val="6C54758A"/>
    <w:rsid w:val="705BB3ED"/>
    <w:rsid w:val="7684D288"/>
    <w:rsid w:val="76B74B0C"/>
    <w:rsid w:val="7759FF62"/>
    <w:rsid w:val="7A9819B5"/>
    <w:rsid w:val="7D0A4BA4"/>
  </w:rsids>
  <m:mathPr>
    <m:mathFont m:val="Cambria Math"/>
    <m:brkBin m:val="before"/>
    <m:brkBinSub m:val="--"/>
    <m:smallFrac/>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C6D401A"/>
  <w15:docId w15:val="{B6996FF4-A582-44FD-8D79-4F8D68A87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EastAsia"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9609C"/>
    <w:rPr>
      <w:rFonts w:ascii="Calibri" w:eastAsia="Calibri" w:hAnsi="Calibri"/>
      <w:sz w:val="22"/>
      <w:lang w:val="en-US" w:eastAsia="en-US"/>
    </w:rPr>
  </w:style>
  <w:style w:type="paragraph" w:styleId="Heading1">
    <w:name w:val="heading 1"/>
    <w:basedOn w:val="Normal"/>
    <w:next w:val="Normal"/>
    <w:link w:val="Heading1Char"/>
    <w:qFormat/>
    <w:rsid w:val="0029609C"/>
    <w:pPr>
      <w:keepNext/>
      <w:spacing w:before="240" w:after="240"/>
      <w:jc w:val="center"/>
      <w:outlineLvl w:val="0"/>
    </w:pPr>
    <w:rPr>
      <w:b/>
      <w:kern w:val="28"/>
      <w:sz w:val="28"/>
    </w:rPr>
  </w:style>
  <w:style w:type="paragraph" w:styleId="Heading2">
    <w:name w:val="heading 2"/>
    <w:basedOn w:val="Normal"/>
    <w:next w:val="Normal"/>
    <w:link w:val="Heading2Char"/>
    <w:unhideWhenUsed/>
    <w:qFormat/>
    <w:rsid w:val="000C5A6A"/>
    <w:pPr>
      <w:keepNext/>
      <w:keepLines/>
      <w:spacing w:before="40"/>
      <w:outlineLvl w:val="1"/>
    </w:pPr>
    <w:rPr>
      <w:rFonts w:asciiTheme="majorHAnsi" w:eastAsiaTheme="majorEastAsia" w:hAnsiTheme="majorHAnsi" w:cstheme="majorBidi"/>
      <w:b/>
      <w:color w:val="365F91" w:themeColor="accent1" w:themeShade="BF"/>
      <w:sz w:val="24"/>
      <w:szCs w:val="26"/>
    </w:rPr>
  </w:style>
  <w:style w:type="paragraph" w:styleId="Heading3">
    <w:name w:val="heading 3"/>
    <w:basedOn w:val="Normal"/>
    <w:next w:val="Normal"/>
    <w:link w:val="Heading3Char"/>
    <w:unhideWhenUsed/>
    <w:qFormat/>
    <w:rsid w:val="00DC0EC2"/>
    <w:pPr>
      <w:keepNext/>
      <w:keepLines/>
      <w:spacing w:before="40"/>
      <w:outlineLvl w:val="2"/>
    </w:pPr>
    <w:rPr>
      <w:rFonts w:asciiTheme="majorHAnsi" w:eastAsiaTheme="majorEastAsia" w:hAnsiTheme="majorHAnsi" w:cstheme="majorBidi"/>
      <w:b/>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29609C"/>
    <w:pPr>
      <w:jc w:val="center"/>
    </w:pPr>
    <w:rPr>
      <w:b/>
      <w:bCs/>
    </w:rPr>
  </w:style>
  <w:style w:type="paragraph" w:styleId="NormalWeb">
    <w:name w:val="Normal (Web)"/>
    <w:basedOn w:val="Normal"/>
    <w:uiPriority w:val="99"/>
    <w:qFormat/>
    <w:rsid w:val="0029609C"/>
    <w:pPr>
      <w:spacing w:before="100" w:beforeAutospacing="1" w:after="100" w:afterAutospacing="1"/>
    </w:pPr>
    <w:rPr>
      <w:rFonts w:ascii="Arial Unicode MS" w:eastAsia="Arial Unicode MS" w:hAnsi="Arial Unicode MS" w:cs="Arial Unicode MS"/>
      <w:szCs w:val="24"/>
    </w:rPr>
  </w:style>
  <w:style w:type="paragraph" w:styleId="BodyTextIndent">
    <w:name w:val="Body Text Indent"/>
    <w:basedOn w:val="Normal"/>
    <w:rsid w:val="0029609C"/>
    <w:pPr>
      <w:tabs>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 w:val="left" w:pos="9000"/>
      </w:tabs>
      <w:ind w:left="720"/>
      <w:jc w:val="both"/>
    </w:pPr>
  </w:style>
  <w:style w:type="paragraph" w:styleId="Caption">
    <w:name w:val="caption"/>
    <w:basedOn w:val="Normal"/>
    <w:next w:val="Normal"/>
    <w:qFormat/>
    <w:rsid w:val="0029609C"/>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 w:val="left" w:pos="9000"/>
      </w:tabs>
      <w:jc w:val="center"/>
    </w:pPr>
    <w:rPr>
      <w:rFonts w:ascii="Times New Roman" w:hAnsi="Times New Roman"/>
      <w:b/>
      <w:sz w:val="28"/>
    </w:rPr>
  </w:style>
  <w:style w:type="paragraph" w:styleId="BodyTextIndent3">
    <w:name w:val="Body Text Indent 3"/>
    <w:basedOn w:val="Normal"/>
    <w:rsid w:val="0029609C"/>
    <w:pPr>
      <w:spacing w:after="120"/>
      <w:ind w:left="360" w:hanging="360"/>
      <w:jc w:val="both"/>
    </w:pPr>
    <w:rPr>
      <w:rFonts w:ascii="Times New Roman" w:hAnsi="Times New Roman"/>
      <w:color w:val="000000"/>
      <w:sz w:val="18"/>
    </w:rPr>
  </w:style>
  <w:style w:type="paragraph" w:styleId="Header">
    <w:name w:val="header"/>
    <w:basedOn w:val="Normal"/>
    <w:rsid w:val="0029609C"/>
    <w:pPr>
      <w:tabs>
        <w:tab w:val="center" w:pos="4320"/>
        <w:tab w:val="right" w:pos="8640"/>
      </w:tabs>
    </w:pPr>
  </w:style>
  <w:style w:type="paragraph" w:styleId="Footer">
    <w:name w:val="footer"/>
    <w:basedOn w:val="Normal"/>
    <w:rsid w:val="0029609C"/>
    <w:pPr>
      <w:tabs>
        <w:tab w:val="center" w:pos="4320"/>
        <w:tab w:val="right" w:pos="8640"/>
      </w:tabs>
    </w:pPr>
  </w:style>
  <w:style w:type="paragraph" w:styleId="BodyText">
    <w:name w:val="Body Text"/>
    <w:basedOn w:val="Normal"/>
    <w:rsid w:val="0029609C"/>
    <w:pPr>
      <w:tabs>
        <w:tab w:val="left" w:pos="-720"/>
        <w:tab w:val="left" w:pos="360"/>
      </w:tabs>
      <w:suppressAutoHyphens/>
      <w:jc w:val="both"/>
    </w:pPr>
    <w:rPr>
      <w:rFonts w:ascii="Times New Roman" w:hAnsi="Times New Roman"/>
      <w:spacing w:val="-3"/>
      <w:sz w:val="20"/>
    </w:rPr>
  </w:style>
  <w:style w:type="paragraph" w:styleId="BodyText2">
    <w:name w:val="Body Text 2"/>
    <w:basedOn w:val="Normal"/>
    <w:rsid w:val="0029609C"/>
    <w:rPr>
      <w:rFonts w:ascii="Times New Roman" w:hAnsi="Times New Roman"/>
      <w:sz w:val="20"/>
    </w:rPr>
  </w:style>
  <w:style w:type="paragraph" w:customStyle="1" w:styleId="Center">
    <w:name w:val="Center"/>
    <w:basedOn w:val="Normal"/>
    <w:rsid w:val="00FF2364"/>
    <w:pPr>
      <w:spacing w:after="240"/>
      <w:jc w:val="center"/>
    </w:pPr>
    <w:rPr>
      <w:rFonts w:ascii="Times New Roman Bold" w:eastAsia="Arial Unicode MS" w:hAnsi="Times New Roman Bold"/>
      <w:b/>
      <w:szCs w:val="22"/>
    </w:rPr>
  </w:style>
  <w:style w:type="character" w:styleId="CommentReference">
    <w:name w:val="annotation reference"/>
    <w:rsid w:val="00E9118C"/>
    <w:rPr>
      <w:sz w:val="16"/>
      <w:szCs w:val="16"/>
    </w:rPr>
  </w:style>
  <w:style w:type="paragraph" w:styleId="CommentText">
    <w:name w:val="annotation text"/>
    <w:basedOn w:val="Normal"/>
    <w:link w:val="CommentTextChar"/>
    <w:rsid w:val="00E9118C"/>
    <w:rPr>
      <w:sz w:val="20"/>
    </w:rPr>
  </w:style>
  <w:style w:type="character" w:customStyle="1" w:styleId="CommentTextChar">
    <w:name w:val="Comment Text Char"/>
    <w:link w:val="CommentText"/>
    <w:rsid w:val="00E9118C"/>
    <w:rPr>
      <w:rFonts w:ascii="Arial" w:hAnsi="Arial"/>
    </w:rPr>
  </w:style>
  <w:style w:type="paragraph" w:styleId="CommentSubject">
    <w:name w:val="annotation subject"/>
    <w:basedOn w:val="CommentText"/>
    <w:next w:val="CommentText"/>
    <w:link w:val="CommentSubjectChar"/>
    <w:rsid w:val="00E9118C"/>
    <w:rPr>
      <w:b/>
      <w:bCs/>
    </w:rPr>
  </w:style>
  <w:style w:type="character" w:customStyle="1" w:styleId="CommentSubjectChar">
    <w:name w:val="Comment Subject Char"/>
    <w:link w:val="CommentSubject"/>
    <w:rsid w:val="00E9118C"/>
    <w:rPr>
      <w:rFonts w:ascii="Arial" w:hAnsi="Arial"/>
      <w:b/>
      <w:bCs/>
    </w:rPr>
  </w:style>
  <w:style w:type="paragraph" w:styleId="BalloonText">
    <w:name w:val="Balloon Text"/>
    <w:basedOn w:val="Normal"/>
    <w:link w:val="BalloonTextChar"/>
    <w:rsid w:val="00E9118C"/>
    <w:rPr>
      <w:rFonts w:ascii="Segoe UI" w:hAnsi="Segoe UI"/>
      <w:sz w:val="18"/>
      <w:szCs w:val="18"/>
    </w:rPr>
  </w:style>
  <w:style w:type="character" w:customStyle="1" w:styleId="BalloonTextChar">
    <w:name w:val="Balloon Text Char"/>
    <w:link w:val="BalloonText"/>
    <w:rsid w:val="00E9118C"/>
    <w:rPr>
      <w:rFonts w:ascii="Segoe UI" w:hAnsi="Segoe UI" w:cs="Segoe UI"/>
      <w:sz w:val="18"/>
      <w:szCs w:val="18"/>
    </w:rPr>
  </w:style>
  <w:style w:type="character" w:customStyle="1" w:styleId="DeltaViewInsertion">
    <w:name w:val="DeltaView Insertion"/>
    <w:rsid w:val="009743EC"/>
    <w:rPr>
      <w:b/>
      <w:bCs/>
      <w:color w:val="0000FF"/>
      <w:spacing w:val="0"/>
      <w:u w:val="double"/>
    </w:rPr>
  </w:style>
  <w:style w:type="paragraph" w:customStyle="1" w:styleId="MediumList2-Accent21">
    <w:name w:val="Medium List 2 - Accent 21"/>
    <w:hidden/>
    <w:uiPriority w:val="71"/>
    <w:unhideWhenUsed/>
    <w:rsid w:val="00913AF7"/>
    <w:rPr>
      <w:rFonts w:ascii="Arial" w:hAnsi="Arial"/>
      <w:sz w:val="24"/>
      <w:lang w:val="en-US" w:eastAsia="en-US"/>
    </w:rPr>
  </w:style>
  <w:style w:type="paragraph" w:customStyle="1" w:styleId="ColorfulShading-Accent11">
    <w:name w:val="Colorful Shading - Accent 11"/>
    <w:hidden/>
    <w:uiPriority w:val="71"/>
    <w:unhideWhenUsed/>
    <w:rsid w:val="00E36DD3"/>
    <w:rPr>
      <w:rFonts w:ascii="Arial" w:hAnsi="Arial"/>
      <w:sz w:val="24"/>
      <w:lang w:val="en-US" w:eastAsia="en-US"/>
    </w:rPr>
  </w:style>
  <w:style w:type="paragraph" w:customStyle="1" w:styleId="TableParagraph">
    <w:name w:val="Table Paragraph"/>
    <w:basedOn w:val="Normal"/>
    <w:uiPriority w:val="1"/>
    <w:qFormat/>
    <w:rsid w:val="00515D59"/>
    <w:pPr>
      <w:widowControl w:val="0"/>
    </w:pPr>
    <w:rPr>
      <w:rFonts w:asciiTheme="minorHAnsi" w:hAnsiTheme="minorHAnsi" w:cstheme="minorBidi"/>
      <w:szCs w:val="22"/>
    </w:rPr>
  </w:style>
  <w:style w:type="paragraph" w:styleId="ListParagraph">
    <w:name w:val="List Paragraph"/>
    <w:basedOn w:val="Normal"/>
    <w:link w:val="ListParagraphChar"/>
    <w:uiPriority w:val="72"/>
    <w:qFormat/>
    <w:rsid w:val="003C6A4E"/>
    <w:pPr>
      <w:ind w:left="720"/>
      <w:contextualSpacing/>
    </w:pPr>
  </w:style>
  <w:style w:type="character" w:styleId="Hyperlink">
    <w:name w:val="Hyperlink"/>
    <w:basedOn w:val="DefaultParagraphFont"/>
    <w:uiPriority w:val="99"/>
    <w:unhideWhenUsed/>
    <w:rsid w:val="00E36D25"/>
    <w:rPr>
      <w:color w:val="0000FF" w:themeColor="hyperlink"/>
      <w:u w:val="single"/>
    </w:rPr>
  </w:style>
  <w:style w:type="paragraph" w:customStyle="1" w:styleId="CM3">
    <w:name w:val="CM3"/>
    <w:basedOn w:val="Normal"/>
    <w:next w:val="Normal"/>
    <w:uiPriority w:val="99"/>
    <w:rsid w:val="00E47D6B"/>
    <w:pPr>
      <w:widowControl w:val="0"/>
      <w:autoSpaceDE w:val="0"/>
      <w:autoSpaceDN w:val="0"/>
      <w:adjustRightInd w:val="0"/>
      <w:spacing w:line="400" w:lineRule="atLeast"/>
    </w:pPr>
    <w:rPr>
      <w:rFonts w:ascii="Times New Roman" w:eastAsia="SimSun" w:hAnsi="Times New Roman"/>
      <w:szCs w:val="24"/>
      <w:lang w:eastAsia="zh-CN"/>
    </w:rPr>
  </w:style>
  <w:style w:type="paragraph" w:styleId="Revision">
    <w:name w:val="Revision"/>
    <w:hidden/>
    <w:uiPriority w:val="99"/>
    <w:semiHidden/>
    <w:rsid w:val="00FF0BCE"/>
    <w:rPr>
      <w:rFonts w:ascii="Arial" w:hAnsi="Arial"/>
      <w:sz w:val="24"/>
      <w:lang w:val="en-US" w:eastAsia="en-US"/>
    </w:rPr>
  </w:style>
  <w:style w:type="character" w:styleId="Strong">
    <w:name w:val="Strong"/>
    <w:basedOn w:val="DefaultParagraphFont"/>
    <w:uiPriority w:val="22"/>
    <w:qFormat/>
    <w:rsid w:val="00235434"/>
    <w:rPr>
      <w:b/>
      <w:bCs/>
    </w:rPr>
  </w:style>
  <w:style w:type="table" w:styleId="TableGrid">
    <w:name w:val="Table Grid"/>
    <w:basedOn w:val="TableNormal"/>
    <w:uiPriority w:val="39"/>
    <w:rsid w:val="00156839"/>
    <w:rPr>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72"/>
    <w:rsid w:val="00156839"/>
    <w:rPr>
      <w:rFonts w:ascii="Arial" w:hAnsi="Arial"/>
      <w:sz w:val="24"/>
      <w:lang w:val="en-US" w:eastAsia="en-US"/>
    </w:rPr>
  </w:style>
  <w:style w:type="paragraph" w:customStyle="1" w:styleId="Default">
    <w:name w:val="Default"/>
    <w:rsid w:val="00114D3E"/>
    <w:pPr>
      <w:autoSpaceDE w:val="0"/>
      <w:autoSpaceDN w:val="0"/>
      <w:adjustRightInd w:val="0"/>
    </w:pPr>
    <w:rPr>
      <w:rFonts w:ascii="Arial" w:eastAsia="Calibri" w:hAnsi="Arial" w:cs="Arial"/>
      <w:color w:val="000000"/>
      <w:sz w:val="24"/>
      <w:szCs w:val="24"/>
      <w:lang w:val="en-US" w:eastAsia="en-US"/>
    </w:rPr>
  </w:style>
  <w:style w:type="paragraph" w:customStyle="1" w:styleId="1Parties">
    <w:name w:val="(1) Parties"/>
    <w:basedOn w:val="Normal"/>
    <w:rsid w:val="00114D3E"/>
    <w:pPr>
      <w:numPr>
        <w:numId w:val="13"/>
      </w:numPr>
      <w:spacing w:before="120" w:after="120" w:line="300" w:lineRule="atLeast"/>
      <w:jc w:val="both"/>
    </w:pPr>
    <w:rPr>
      <w:rFonts w:ascii="Times New Roman" w:eastAsia="Times New Roman" w:hAnsi="Times New Roman"/>
      <w:lang w:val="en-GB"/>
    </w:rPr>
  </w:style>
  <w:style w:type="paragraph" w:customStyle="1" w:styleId="Scha">
    <w:name w:val="Sch a)"/>
    <w:basedOn w:val="Normal"/>
    <w:rsid w:val="00114D3E"/>
    <w:pPr>
      <w:numPr>
        <w:ilvl w:val="1"/>
        <w:numId w:val="13"/>
      </w:numPr>
      <w:spacing w:line="300" w:lineRule="atLeast"/>
      <w:jc w:val="both"/>
    </w:pPr>
    <w:rPr>
      <w:rFonts w:ascii="Times New Roman" w:eastAsia="Times New Roman" w:hAnsi="Times New Roman"/>
      <w:lang w:val="en-GB"/>
    </w:rPr>
  </w:style>
  <w:style w:type="character" w:customStyle="1" w:styleId="st">
    <w:name w:val="st"/>
    <w:basedOn w:val="DefaultParagraphFont"/>
    <w:rsid w:val="00114D3E"/>
  </w:style>
  <w:style w:type="character" w:styleId="Emphasis">
    <w:name w:val="Emphasis"/>
    <w:basedOn w:val="DefaultParagraphFont"/>
    <w:uiPriority w:val="20"/>
    <w:qFormat/>
    <w:rsid w:val="00114D3E"/>
    <w:rPr>
      <w:i/>
      <w:iCs/>
    </w:rPr>
  </w:style>
  <w:style w:type="paragraph" w:customStyle="1" w:styleId="content01">
    <w:name w:val="content01"/>
    <w:basedOn w:val="Normal"/>
    <w:rsid w:val="00114D3E"/>
    <w:pPr>
      <w:spacing w:before="100" w:beforeAutospacing="1" w:after="100" w:afterAutospacing="1"/>
    </w:pPr>
    <w:rPr>
      <w:rFonts w:ascii="Times New Roman" w:eastAsia="Times New Roman" w:hAnsi="Times New Roman"/>
      <w:szCs w:val="24"/>
    </w:rPr>
  </w:style>
  <w:style w:type="character" w:customStyle="1" w:styleId="text">
    <w:name w:val="text"/>
    <w:basedOn w:val="DefaultParagraphFont"/>
    <w:rsid w:val="00114D3E"/>
  </w:style>
  <w:style w:type="paragraph" w:customStyle="1" w:styleId="HeadingBody1">
    <w:name w:val="HeadingBody 1"/>
    <w:basedOn w:val="Normal"/>
    <w:next w:val="BodyText"/>
    <w:rsid w:val="000924F6"/>
    <w:pPr>
      <w:spacing w:after="240"/>
    </w:pPr>
    <w:rPr>
      <w:rFonts w:ascii="Times New Roman" w:eastAsia="SimSun" w:hAnsi="Times New Roman"/>
    </w:rPr>
  </w:style>
  <w:style w:type="numbering" w:styleId="1ai">
    <w:name w:val="Outline List 1"/>
    <w:basedOn w:val="NoList"/>
    <w:semiHidden/>
    <w:rsid w:val="00A21885"/>
    <w:pPr>
      <w:numPr>
        <w:numId w:val="16"/>
      </w:numPr>
    </w:pPr>
  </w:style>
  <w:style w:type="paragraph" w:customStyle="1" w:styleId="Title2">
    <w:name w:val="Title2"/>
    <w:basedOn w:val="BodyText"/>
    <w:rsid w:val="00A21885"/>
    <w:pPr>
      <w:tabs>
        <w:tab w:val="clear" w:pos="-720"/>
        <w:tab w:val="clear" w:pos="360"/>
      </w:tabs>
      <w:suppressAutoHyphens w:val="0"/>
      <w:spacing w:after="240"/>
      <w:ind w:firstLine="720"/>
      <w:jc w:val="center"/>
    </w:pPr>
    <w:rPr>
      <w:rFonts w:eastAsia="SimSun"/>
      <w:b/>
      <w:spacing w:val="0"/>
      <w:sz w:val="24"/>
      <w:u w:val="single"/>
    </w:rPr>
  </w:style>
  <w:style w:type="paragraph" w:styleId="ListNumber">
    <w:name w:val="List Number"/>
    <w:basedOn w:val="Normal"/>
    <w:rsid w:val="00A21885"/>
    <w:pPr>
      <w:numPr>
        <w:numId w:val="15"/>
      </w:numPr>
      <w:spacing w:after="240"/>
    </w:pPr>
    <w:rPr>
      <w:rFonts w:ascii="Times New Roman" w:eastAsia="SimSun" w:hAnsi="Times New Roman"/>
    </w:rPr>
  </w:style>
  <w:style w:type="character" w:customStyle="1" w:styleId="Heading2Char">
    <w:name w:val="Heading 2 Char"/>
    <w:basedOn w:val="DefaultParagraphFont"/>
    <w:link w:val="Heading2"/>
    <w:rsid w:val="000C5A6A"/>
    <w:rPr>
      <w:rFonts w:asciiTheme="majorHAnsi" w:eastAsiaTheme="majorEastAsia" w:hAnsiTheme="majorHAnsi" w:cstheme="majorBidi"/>
      <w:color w:val="365F91" w:themeColor="accent1" w:themeShade="BF"/>
      <w:sz w:val="26"/>
      <w:szCs w:val="26"/>
      <w:lang w:val="en-US" w:eastAsia="en-US"/>
    </w:rPr>
  </w:style>
  <w:style w:type="character" w:customStyle="1" w:styleId="Heading3Char">
    <w:name w:val="Heading 3 Char"/>
    <w:basedOn w:val="DefaultParagraphFont"/>
    <w:link w:val="Heading3"/>
    <w:rsid w:val="00DC0EC2"/>
    <w:rPr>
      <w:rFonts w:asciiTheme="majorHAnsi" w:eastAsiaTheme="majorEastAsia" w:hAnsiTheme="majorHAnsi" w:cstheme="majorBidi"/>
      <w:color w:val="243F60" w:themeColor="accent1" w:themeShade="7F"/>
      <w:sz w:val="24"/>
      <w:szCs w:val="24"/>
      <w:lang w:val="en-US" w:eastAsia="en-US"/>
    </w:rPr>
  </w:style>
  <w:style w:type="paragraph" w:customStyle="1" w:styleId="xp1">
    <w:name w:val="x_p1"/>
    <w:basedOn w:val="Normal"/>
    <w:rsid w:val="00391547"/>
    <w:pPr>
      <w:spacing w:before="100" w:beforeAutospacing="1" w:after="100" w:afterAutospacing="1"/>
    </w:pPr>
    <w:rPr>
      <w:rFonts w:ascii="Times New Roman" w:eastAsia="Times New Roman" w:hAnsi="Times New Roman"/>
      <w:szCs w:val="24"/>
    </w:rPr>
  </w:style>
  <w:style w:type="paragraph" w:customStyle="1" w:styleId="xli1">
    <w:name w:val="x_li1"/>
    <w:basedOn w:val="Normal"/>
    <w:rsid w:val="00391547"/>
    <w:pPr>
      <w:spacing w:before="100" w:beforeAutospacing="1" w:after="100" w:afterAutospacing="1"/>
    </w:pPr>
    <w:rPr>
      <w:rFonts w:ascii="Times New Roman" w:eastAsia="Times New Roman" w:hAnsi="Times New Roman"/>
      <w:szCs w:val="24"/>
    </w:rPr>
  </w:style>
  <w:style w:type="character" w:customStyle="1" w:styleId="xs1">
    <w:name w:val="x_s1"/>
    <w:basedOn w:val="DefaultParagraphFont"/>
    <w:rsid w:val="00391547"/>
  </w:style>
  <w:style w:type="paragraph" w:customStyle="1" w:styleId="xmsonormal">
    <w:name w:val="x_msonormal"/>
    <w:basedOn w:val="Normal"/>
    <w:rsid w:val="00391547"/>
    <w:pPr>
      <w:spacing w:before="100" w:beforeAutospacing="1" w:after="100" w:afterAutospacing="1"/>
    </w:pPr>
    <w:rPr>
      <w:rFonts w:ascii="Times New Roman" w:eastAsia="Times New Roman" w:hAnsi="Times New Roman"/>
      <w:szCs w:val="24"/>
    </w:rPr>
  </w:style>
  <w:style w:type="character" w:styleId="UnresolvedMention">
    <w:name w:val="Unresolved Mention"/>
    <w:basedOn w:val="DefaultParagraphFont"/>
    <w:uiPriority w:val="99"/>
    <w:semiHidden/>
    <w:unhideWhenUsed/>
    <w:rsid w:val="000E3CAA"/>
    <w:rPr>
      <w:color w:val="605E5C"/>
      <w:shd w:val="clear" w:color="auto" w:fill="E1DFDD"/>
    </w:rPr>
  </w:style>
  <w:style w:type="paragraph" w:styleId="TOC1">
    <w:name w:val="toc 1"/>
    <w:basedOn w:val="Normal"/>
    <w:next w:val="Normal"/>
    <w:autoRedefine/>
    <w:uiPriority w:val="39"/>
    <w:unhideWhenUsed/>
    <w:rsid w:val="00C726B8"/>
    <w:pPr>
      <w:tabs>
        <w:tab w:val="left" w:pos="440"/>
        <w:tab w:val="right" w:leader="dot" w:pos="10185"/>
      </w:tabs>
      <w:spacing w:after="100"/>
    </w:pPr>
  </w:style>
  <w:style w:type="paragraph" w:styleId="TOC2">
    <w:name w:val="toc 2"/>
    <w:basedOn w:val="Normal"/>
    <w:next w:val="Normal"/>
    <w:autoRedefine/>
    <w:uiPriority w:val="39"/>
    <w:unhideWhenUsed/>
    <w:rsid w:val="007B0B60"/>
    <w:pPr>
      <w:spacing w:after="100"/>
      <w:ind w:left="220"/>
    </w:pPr>
  </w:style>
  <w:style w:type="paragraph" w:styleId="TOC3">
    <w:name w:val="toc 3"/>
    <w:basedOn w:val="Normal"/>
    <w:next w:val="Normal"/>
    <w:autoRedefine/>
    <w:uiPriority w:val="39"/>
    <w:unhideWhenUsed/>
    <w:rsid w:val="007B0B60"/>
    <w:pPr>
      <w:spacing w:after="100"/>
      <w:ind w:left="440"/>
    </w:pPr>
  </w:style>
  <w:style w:type="character" w:styleId="Mention">
    <w:name w:val="Mention"/>
    <w:basedOn w:val="DefaultParagraphFont"/>
    <w:uiPriority w:val="99"/>
    <w:unhideWhenUsed/>
    <w:rsid w:val="009B18BC"/>
    <w:rPr>
      <w:color w:val="2B579A"/>
      <w:shd w:val="clear" w:color="auto" w:fill="E1DFDD"/>
    </w:rPr>
  </w:style>
  <w:style w:type="character" w:customStyle="1" w:styleId="Heading1Char">
    <w:name w:val="Heading 1 Char"/>
    <w:basedOn w:val="DefaultParagraphFont"/>
    <w:link w:val="Heading1"/>
    <w:rsid w:val="002026B7"/>
    <w:rPr>
      <w:rFonts w:ascii="Calibri" w:eastAsia="Calibri" w:hAnsi="Calibri"/>
      <w:b/>
      <w:kern w:val="28"/>
      <w:sz w:val="28"/>
      <w:lang w:val="en-US" w:eastAsia="en-US"/>
    </w:rPr>
  </w:style>
  <w:style w:type="numbering" w:customStyle="1" w:styleId="CurrentList1">
    <w:name w:val="Current List1"/>
    <w:uiPriority w:val="99"/>
    <w:rsid w:val="00E1112E"/>
    <w:pPr>
      <w:numPr>
        <w:numId w:val="37"/>
      </w:numPr>
    </w:pPr>
  </w:style>
  <w:style w:type="paragraph" w:customStyle="1" w:styleId="p1">
    <w:name w:val="p1"/>
    <w:basedOn w:val="Normal"/>
    <w:rsid w:val="00530B6D"/>
    <w:pPr>
      <w:spacing w:before="100" w:beforeAutospacing="1" w:after="100" w:afterAutospacing="1"/>
    </w:pPr>
    <w:rPr>
      <w:rFonts w:ascii="Times New Roman" w:eastAsia="Times New Roman" w:hAnsi="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5667179">
      <w:bodyDiv w:val="1"/>
      <w:marLeft w:val="0"/>
      <w:marRight w:val="0"/>
      <w:marTop w:val="0"/>
      <w:marBottom w:val="0"/>
      <w:divBdr>
        <w:top w:val="none" w:sz="0" w:space="0" w:color="auto"/>
        <w:left w:val="none" w:sz="0" w:space="0" w:color="auto"/>
        <w:bottom w:val="none" w:sz="0" w:space="0" w:color="auto"/>
        <w:right w:val="none" w:sz="0" w:space="0" w:color="auto"/>
      </w:divBdr>
      <w:divsChild>
        <w:div w:id="164591784">
          <w:marLeft w:val="0"/>
          <w:marRight w:val="0"/>
          <w:marTop w:val="0"/>
          <w:marBottom w:val="0"/>
          <w:divBdr>
            <w:top w:val="none" w:sz="0" w:space="0" w:color="auto"/>
            <w:left w:val="none" w:sz="0" w:space="0" w:color="auto"/>
            <w:bottom w:val="none" w:sz="0" w:space="0" w:color="auto"/>
            <w:right w:val="none" w:sz="0" w:space="0" w:color="auto"/>
          </w:divBdr>
        </w:div>
        <w:div w:id="169297072">
          <w:marLeft w:val="0"/>
          <w:marRight w:val="0"/>
          <w:marTop w:val="0"/>
          <w:marBottom w:val="0"/>
          <w:divBdr>
            <w:top w:val="none" w:sz="0" w:space="0" w:color="auto"/>
            <w:left w:val="none" w:sz="0" w:space="0" w:color="auto"/>
            <w:bottom w:val="none" w:sz="0" w:space="0" w:color="auto"/>
            <w:right w:val="none" w:sz="0" w:space="0" w:color="auto"/>
          </w:divBdr>
        </w:div>
        <w:div w:id="237636660">
          <w:marLeft w:val="0"/>
          <w:marRight w:val="0"/>
          <w:marTop w:val="0"/>
          <w:marBottom w:val="0"/>
          <w:divBdr>
            <w:top w:val="none" w:sz="0" w:space="0" w:color="auto"/>
            <w:left w:val="none" w:sz="0" w:space="0" w:color="auto"/>
            <w:bottom w:val="none" w:sz="0" w:space="0" w:color="auto"/>
            <w:right w:val="none" w:sz="0" w:space="0" w:color="auto"/>
          </w:divBdr>
        </w:div>
        <w:div w:id="390614686">
          <w:marLeft w:val="0"/>
          <w:marRight w:val="0"/>
          <w:marTop w:val="0"/>
          <w:marBottom w:val="0"/>
          <w:divBdr>
            <w:top w:val="none" w:sz="0" w:space="0" w:color="auto"/>
            <w:left w:val="none" w:sz="0" w:space="0" w:color="auto"/>
            <w:bottom w:val="none" w:sz="0" w:space="0" w:color="auto"/>
            <w:right w:val="none" w:sz="0" w:space="0" w:color="auto"/>
          </w:divBdr>
        </w:div>
        <w:div w:id="722367101">
          <w:marLeft w:val="0"/>
          <w:marRight w:val="0"/>
          <w:marTop w:val="0"/>
          <w:marBottom w:val="0"/>
          <w:divBdr>
            <w:top w:val="none" w:sz="0" w:space="0" w:color="auto"/>
            <w:left w:val="none" w:sz="0" w:space="0" w:color="auto"/>
            <w:bottom w:val="none" w:sz="0" w:space="0" w:color="auto"/>
            <w:right w:val="none" w:sz="0" w:space="0" w:color="auto"/>
          </w:divBdr>
        </w:div>
        <w:div w:id="777212554">
          <w:marLeft w:val="0"/>
          <w:marRight w:val="0"/>
          <w:marTop w:val="0"/>
          <w:marBottom w:val="0"/>
          <w:divBdr>
            <w:top w:val="none" w:sz="0" w:space="0" w:color="auto"/>
            <w:left w:val="none" w:sz="0" w:space="0" w:color="auto"/>
            <w:bottom w:val="none" w:sz="0" w:space="0" w:color="auto"/>
            <w:right w:val="none" w:sz="0" w:space="0" w:color="auto"/>
          </w:divBdr>
        </w:div>
        <w:div w:id="834607937">
          <w:marLeft w:val="0"/>
          <w:marRight w:val="0"/>
          <w:marTop w:val="0"/>
          <w:marBottom w:val="0"/>
          <w:divBdr>
            <w:top w:val="none" w:sz="0" w:space="0" w:color="auto"/>
            <w:left w:val="none" w:sz="0" w:space="0" w:color="auto"/>
            <w:bottom w:val="none" w:sz="0" w:space="0" w:color="auto"/>
            <w:right w:val="none" w:sz="0" w:space="0" w:color="auto"/>
          </w:divBdr>
        </w:div>
        <w:div w:id="913054929">
          <w:marLeft w:val="0"/>
          <w:marRight w:val="0"/>
          <w:marTop w:val="0"/>
          <w:marBottom w:val="0"/>
          <w:divBdr>
            <w:top w:val="none" w:sz="0" w:space="0" w:color="auto"/>
            <w:left w:val="none" w:sz="0" w:space="0" w:color="auto"/>
            <w:bottom w:val="none" w:sz="0" w:space="0" w:color="auto"/>
            <w:right w:val="none" w:sz="0" w:space="0" w:color="auto"/>
          </w:divBdr>
        </w:div>
        <w:div w:id="1180899547">
          <w:marLeft w:val="0"/>
          <w:marRight w:val="0"/>
          <w:marTop w:val="0"/>
          <w:marBottom w:val="0"/>
          <w:divBdr>
            <w:top w:val="none" w:sz="0" w:space="0" w:color="auto"/>
            <w:left w:val="none" w:sz="0" w:space="0" w:color="auto"/>
            <w:bottom w:val="none" w:sz="0" w:space="0" w:color="auto"/>
            <w:right w:val="none" w:sz="0" w:space="0" w:color="auto"/>
          </w:divBdr>
        </w:div>
      </w:divsChild>
    </w:div>
    <w:div w:id="189226566">
      <w:bodyDiv w:val="1"/>
      <w:marLeft w:val="0"/>
      <w:marRight w:val="0"/>
      <w:marTop w:val="0"/>
      <w:marBottom w:val="0"/>
      <w:divBdr>
        <w:top w:val="none" w:sz="0" w:space="0" w:color="auto"/>
        <w:left w:val="none" w:sz="0" w:space="0" w:color="auto"/>
        <w:bottom w:val="none" w:sz="0" w:space="0" w:color="auto"/>
        <w:right w:val="none" w:sz="0" w:space="0" w:color="auto"/>
      </w:divBdr>
    </w:div>
    <w:div w:id="209000373">
      <w:bodyDiv w:val="1"/>
      <w:marLeft w:val="0"/>
      <w:marRight w:val="0"/>
      <w:marTop w:val="0"/>
      <w:marBottom w:val="0"/>
      <w:divBdr>
        <w:top w:val="none" w:sz="0" w:space="0" w:color="auto"/>
        <w:left w:val="none" w:sz="0" w:space="0" w:color="auto"/>
        <w:bottom w:val="none" w:sz="0" w:space="0" w:color="auto"/>
        <w:right w:val="none" w:sz="0" w:space="0" w:color="auto"/>
      </w:divBdr>
    </w:div>
    <w:div w:id="270015586">
      <w:bodyDiv w:val="1"/>
      <w:marLeft w:val="0"/>
      <w:marRight w:val="0"/>
      <w:marTop w:val="0"/>
      <w:marBottom w:val="0"/>
      <w:divBdr>
        <w:top w:val="none" w:sz="0" w:space="0" w:color="auto"/>
        <w:left w:val="none" w:sz="0" w:space="0" w:color="auto"/>
        <w:bottom w:val="none" w:sz="0" w:space="0" w:color="auto"/>
        <w:right w:val="none" w:sz="0" w:space="0" w:color="auto"/>
      </w:divBdr>
    </w:div>
    <w:div w:id="535705430">
      <w:bodyDiv w:val="1"/>
      <w:marLeft w:val="0"/>
      <w:marRight w:val="0"/>
      <w:marTop w:val="0"/>
      <w:marBottom w:val="0"/>
      <w:divBdr>
        <w:top w:val="none" w:sz="0" w:space="0" w:color="auto"/>
        <w:left w:val="none" w:sz="0" w:space="0" w:color="auto"/>
        <w:bottom w:val="none" w:sz="0" w:space="0" w:color="auto"/>
        <w:right w:val="none" w:sz="0" w:space="0" w:color="auto"/>
      </w:divBdr>
    </w:div>
    <w:div w:id="861284609">
      <w:bodyDiv w:val="1"/>
      <w:marLeft w:val="0"/>
      <w:marRight w:val="0"/>
      <w:marTop w:val="0"/>
      <w:marBottom w:val="0"/>
      <w:divBdr>
        <w:top w:val="none" w:sz="0" w:space="0" w:color="auto"/>
        <w:left w:val="none" w:sz="0" w:space="0" w:color="auto"/>
        <w:bottom w:val="none" w:sz="0" w:space="0" w:color="auto"/>
        <w:right w:val="none" w:sz="0" w:space="0" w:color="auto"/>
      </w:divBdr>
    </w:div>
    <w:div w:id="869759153">
      <w:bodyDiv w:val="1"/>
      <w:marLeft w:val="0"/>
      <w:marRight w:val="0"/>
      <w:marTop w:val="0"/>
      <w:marBottom w:val="0"/>
      <w:divBdr>
        <w:top w:val="none" w:sz="0" w:space="0" w:color="auto"/>
        <w:left w:val="none" w:sz="0" w:space="0" w:color="auto"/>
        <w:bottom w:val="none" w:sz="0" w:space="0" w:color="auto"/>
        <w:right w:val="none" w:sz="0" w:space="0" w:color="auto"/>
      </w:divBdr>
    </w:div>
    <w:div w:id="908882940">
      <w:bodyDiv w:val="1"/>
      <w:marLeft w:val="0"/>
      <w:marRight w:val="0"/>
      <w:marTop w:val="0"/>
      <w:marBottom w:val="0"/>
      <w:divBdr>
        <w:top w:val="none" w:sz="0" w:space="0" w:color="auto"/>
        <w:left w:val="none" w:sz="0" w:space="0" w:color="auto"/>
        <w:bottom w:val="none" w:sz="0" w:space="0" w:color="auto"/>
        <w:right w:val="none" w:sz="0" w:space="0" w:color="auto"/>
      </w:divBdr>
    </w:div>
    <w:div w:id="944071539">
      <w:bodyDiv w:val="1"/>
      <w:marLeft w:val="0"/>
      <w:marRight w:val="0"/>
      <w:marTop w:val="0"/>
      <w:marBottom w:val="0"/>
      <w:divBdr>
        <w:top w:val="none" w:sz="0" w:space="0" w:color="auto"/>
        <w:left w:val="none" w:sz="0" w:space="0" w:color="auto"/>
        <w:bottom w:val="none" w:sz="0" w:space="0" w:color="auto"/>
        <w:right w:val="none" w:sz="0" w:space="0" w:color="auto"/>
      </w:divBdr>
    </w:div>
    <w:div w:id="1038552787">
      <w:bodyDiv w:val="1"/>
      <w:marLeft w:val="0"/>
      <w:marRight w:val="0"/>
      <w:marTop w:val="0"/>
      <w:marBottom w:val="0"/>
      <w:divBdr>
        <w:top w:val="none" w:sz="0" w:space="0" w:color="auto"/>
        <w:left w:val="none" w:sz="0" w:space="0" w:color="auto"/>
        <w:bottom w:val="none" w:sz="0" w:space="0" w:color="auto"/>
        <w:right w:val="none" w:sz="0" w:space="0" w:color="auto"/>
      </w:divBdr>
      <w:divsChild>
        <w:div w:id="558247664">
          <w:marLeft w:val="0"/>
          <w:marRight w:val="0"/>
          <w:marTop w:val="0"/>
          <w:marBottom w:val="0"/>
          <w:divBdr>
            <w:top w:val="none" w:sz="0" w:space="0" w:color="auto"/>
            <w:left w:val="none" w:sz="0" w:space="0" w:color="auto"/>
            <w:bottom w:val="none" w:sz="0" w:space="0" w:color="auto"/>
            <w:right w:val="none" w:sz="0" w:space="0" w:color="auto"/>
          </w:divBdr>
        </w:div>
        <w:div w:id="806583410">
          <w:marLeft w:val="0"/>
          <w:marRight w:val="0"/>
          <w:marTop w:val="0"/>
          <w:marBottom w:val="0"/>
          <w:divBdr>
            <w:top w:val="none" w:sz="0" w:space="0" w:color="auto"/>
            <w:left w:val="none" w:sz="0" w:space="0" w:color="auto"/>
            <w:bottom w:val="none" w:sz="0" w:space="0" w:color="auto"/>
            <w:right w:val="none" w:sz="0" w:space="0" w:color="auto"/>
          </w:divBdr>
        </w:div>
        <w:div w:id="1120487722">
          <w:marLeft w:val="0"/>
          <w:marRight w:val="0"/>
          <w:marTop w:val="0"/>
          <w:marBottom w:val="0"/>
          <w:divBdr>
            <w:top w:val="none" w:sz="0" w:space="0" w:color="auto"/>
            <w:left w:val="none" w:sz="0" w:space="0" w:color="auto"/>
            <w:bottom w:val="none" w:sz="0" w:space="0" w:color="auto"/>
            <w:right w:val="none" w:sz="0" w:space="0" w:color="auto"/>
          </w:divBdr>
        </w:div>
        <w:div w:id="1267271178">
          <w:marLeft w:val="0"/>
          <w:marRight w:val="0"/>
          <w:marTop w:val="0"/>
          <w:marBottom w:val="0"/>
          <w:divBdr>
            <w:top w:val="none" w:sz="0" w:space="0" w:color="auto"/>
            <w:left w:val="none" w:sz="0" w:space="0" w:color="auto"/>
            <w:bottom w:val="none" w:sz="0" w:space="0" w:color="auto"/>
            <w:right w:val="none" w:sz="0" w:space="0" w:color="auto"/>
          </w:divBdr>
        </w:div>
        <w:div w:id="1404180260">
          <w:marLeft w:val="0"/>
          <w:marRight w:val="0"/>
          <w:marTop w:val="0"/>
          <w:marBottom w:val="0"/>
          <w:divBdr>
            <w:top w:val="none" w:sz="0" w:space="0" w:color="auto"/>
            <w:left w:val="none" w:sz="0" w:space="0" w:color="auto"/>
            <w:bottom w:val="none" w:sz="0" w:space="0" w:color="auto"/>
            <w:right w:val="none" w:sz="0" w:space="0" w:color="auto"/>
          </w:divBdr>
        </w:div>
        <w:div w:id="1419869218">
          <w:marLeft w:val="0"/>
          <w:marRight w:val="0"/>
          <w:marTop w:val="0"/>
          <w:marBottom w:val="0"/>
          <w:divBdr>
            <w:top w:val="none" w:sz="0" w:space="0" w:color="auto"/>
            <w:left w:val="none" w:sz="0" w:space="0" w:color="auto"/>
            <w:bottom w:val="none" w:sz="0" w:space="0" w:color="auto"/>
            <w:right w:val="none" w:sz="0" w:space="0" w:color="auto"/>
          </w:divBdr>
        </w:div>
        <w:div w:id="1429152678">
          <w:marLeft w:val="0"/>
          <w:marRight w:val="0"/>
          <w:marTop w:val="0"/>
          <w:marBottom w:val="0"/>
          <w:divBdr>
            <w:top w:val="none" w:sz="0" w:space="0" w:color="auto"/>
            <w:left w:val="none" w:sz="0" w:space="0" w:color="auto"/>
            <w:bottom w:val="none" w:sz="0" w:space="0" w:color="auto"/>
            <w:right w:val="none" w:sz="0" w:space="0" w:color="auto"/>
          </w:divBdr>
        </w:div>
        <w:div w:id="1474907347">
          <w:marLeft w:val="0"/>
          <w:marRight w:val="0"/>
          <w:marTop w:val="0"/>
          <w:marBottom w:val="0"/>
          <w:divBdr>
            <w:top w:val="none" w:sz="0" w:space="0" w:color="auto"/>
            <w:left w:val="none" w:sz="0" w:space="0" w:color="auto"/>
            <w:bottom w:val="none" w:sz="0" w:space="0" w:color="auto"/>
            <w:right w:val="none" w:sz="0" w:space="0" w:color="auto"/>
          </w:divBdr>
        </w:div>
        <w:div w:id="2070151290">
          <w:marLeft w:val="0"/>
          <w:marRight w:val="0"/>
          <w:marTop w:val="0"/>
          <w:marBottom w:val="0"/>
          <w:divBdr>
            <w:top w:val="none" w:sz="0" w:space="0" w:color="auto"/>
            <w:left w:val="none" w:sz="0" w:space="0" w:color="auto"/>
            <w:bottom w:val="none" w:sz="0" w:space="0" w:color="auto"/>
            <w:right w:val="none" w:sz="0" w:space="0" w:color="auto"/>
          </w:divBdr>
        </w:div>
      </w:divsChild>
    </w:div>
    <w:div w:id="1204052236">
      <w:bodyDiv w:val="1"/>
      <w:marLeft w:val="0"/>
      <w:marRight w:val="0"/>
      <w:marTop w:val="0"/>
      <w:marBottom w:val="0"/>
      <w:divBdr>
        <w:top w:val="none" w:sz="0" w:space="0" w:color="auto"/>
        <w:left w:val="none" w:sz="0" w:space="0" w:color="auto"/>
        <w:bottom w:val="none" w:sz="0" w:space="0" w:color="auto"/>
        <w:right w:val="none" w:sz="0" w:space="0" w:color="auto"/>
      </w:divBdr>
    </w:div>
    <w:div w:id="1293243208">
      <w:bodyDiv w:val="1"/>
      <w:marLeft w:val="0"/>
      <w:marRight w:val="0"/>
      <w:marTop w:val="0"/>
      <w:marBottom w:val="0"/>
      <w:divBdr>
        <w:top w:val="none" w:sz="0" w:space="0" w:color="auto"/>
        <w:left w:val="none" w:sz="0" w:space="0" w:color="auto"/>
        <w:bottom w:val="none" w:sz="0" w:space="0" w:color="auto"/>
        <w:right w:val="none" w:sz="0" w:space="0" w:color="auto"/>
      </w:divBdr>
      <w:divsChild>
        <w:div w:id="27075020">
          <w:marLeft w:val="0"/>
          <w:marRight w:val="0"/>
          <w:marTop w:val="0"/>
          <w:marBottom w:val="0"/>
          <w:divBdr>
            <w:top w:val="none" w:sz="0" w:space="0" w:color="auto"/>
            <w:left w:val="none" w:sz="0" w:space="0" w:color="auto"/>
            <w:bottom w:val="none" w:sz="0" w:space="0" w:color="auto"/>
            <w:right w:val="none" w:sz="0" w:space="0" w:color="auto"/>
          </w:divBdr>
        </w:div>
        <w:div w:id="331571055">
          <w:marLeft w:val="0"/>
          <w:marRight w:val="0"/>
          <w:marTop w:val="0"/>
          <w:marBottom w:val="0"/>
          <w:divBdr>
            <w:top w:val="none" w:sz="0" w:space="0" w:color="auto"/>
            <w:left w:val="none" w:sz="0" w:space="0" w:color="auto"/>
            <w:bottom w:val="none" w:sz="0" w:space="0" w:color="auto"/>
            <w:right w:val="none" w:sz="0" w:space="0" w:color="auto"/>
          </w:divBdr>
        </w:div>
        <w:div w:id="341053686">
          <w:marLeft w:val="0"/>
          <w:marRight w:val="0"/>
          <w:marTop w:val="0"/>
          <w:marBottom w:val="0"/>
          <w:divBdr>
            <w:top w:val="none" w:sz="0" w:space="0" w:color="auto"/>
            <w:left w:val="none" w:sz="0" w:space="0" w:color="auto"/>
            <w:bottom w:val="none" w:sz="0" w:space="0" w:color="auto"/>
            <w:right w:val="none" w:sz="0" w:space="0" w:color="auto"/>
          </w:divBdr>
        </w:div>
        <w:div w:id="376517683">
          <w:marLeft w:val="0"/>
          <w:marRight w:val="0"/>
          <w:marTop w:val="0"/>
          <w:marBottom w:val="0"/>
          <w:divBdr>
            <w:top w:val="none" w:sz="0" w:space="0" w:color="auto"/>
            <w:left w:val="none" w:sz="0" w:space="0" w:color="auto"/>
            <w:bottom w:val="none" w:sz="0" w:space="0" w:color="auto"/>
            <w:right w:val="none" w:sz="0" w:space="0" w:color="auto"/>
          </w:divBdr>
        </w:div>
        <w:div w:id="475802220">
          <w:marLeft w:val="0"/>
          <w:marRight w:val="0"/>
          <w:marTop w:val="0"/>
          <w:marBottom w:val="0"/>
          <w:divBdr>
            <w:top w:val="none" w:sz="0" w:space="0" w:color="auto"/>
            <w:left w:val="none" w:sz="0" w:space="0" w:color="auto"/>
            <w:bottom w:val="none" w:sz="0" w:space="0" w:color="auto"/>
            <w:right w:val="none" w:sz="0" w:space="0" w:color="auto"/>
          </w:divBdr>
        </w:div>
        <w:div w:id="848761739">
          <w:marLeft w:val="0"/>
          <w:marRight w:val="0"/>
          <w:marTop w:val="0"/>
          <w:marBottom w:val="0"/>
          <w:divBdr>
            <w:top w:val="none" w:sz="0" w:space="0" w:color="auto"/>
            <w:left w:val="none" w:sz="0" w:space="0" w:color="auto"/>
            <w:bottom w:val="none" w:sz="0" w:space="0" w:color="auto"/>
            <w:right w:val="none" w:sz="0" w:space="0" w:color="auto"/>
          </w:divBdr>
        </w:div>
        <w:div w:id="849684163">
          <w:marLeft w:val="0"/>
          <w:marRight w:val="0"/>
          <w:marTop w:val="0"/>
          <w:marBottom w:val="0"/>
          <w:divBdr>
            <w:top w:val="none" w:sz="0" w:space="0" w:color="auto"/>
            <w:left w:val="none" w:sz="0" w:space="0" w:color="auto"/>
            <w:bottom w:val="none" w:sz="0" w:space="0" w:color="auto"/>
            <w:right w:val="none" w:sz="0" w:space="0" w:color="auto"/>
          </w:divBdr>
        </w:div>
        <w:div w:id="1160000846">
          <w:marLeft w:val="0"/>
          <w:marRight w:val="0"/>
          <w:marTop w:val="0"/>
          <w:marBottom w:val="0"/>
          <w:divBdr>
            <w:top w:val="none" w:sz="0" w:space="0" w:color="auto"/>
            <w:left w:val="none" w:sz="0" w:space="0" w:color="auto"/>
            <w:bottom w:val="none" w:sz="0" w:space="0" w:color="auto"/>
            <w:right w:val="none" w:sz="0" w:space="0" w:color="auto"/>
          </w:divBdr>
        </w:div>
        <w:div w:id="1481849845">
          <w:marLeft w:val="0"/>
          <w:marRight w:val="0"/>
          <w:marTop w:val="0"/>
          <w:marBottom w:val="0"/>
          <w:divBdr>
            <w:top w:val="none" w:sz="0" w:space="0" w:color="auto"/>
            <w:left w:val="none" w:sz="0" w:space="0" w:color="auto"/>
            <w:bottom w:val="none" w:sz="0" w:space="0" w:color="auto"/>
            <w:right w:val="none" w:sz="0" w:space="0" w:color="auto"/>
          </w:divBdr>
        </w:div>
      </w:divsChild>
    </w:div>
    <w:div w:id="1329791531">
      <w:bodyDiv w:val="1"/>
      <w:marLeft w:val="0"/>
      <w:marRight w:val="0"/>
      <w:marTop w:val="0"/>
      <w:marBottom w:val="0"/>
      <w:divBdr>
        <w:top w:val="none" w:sz="0" w:space="0" w:color="auto"/>
        <w:left w:val="none" w:sz="0" w:space="0" w:color="auto"/>
        <w:bottom w:val="none" w:sz="0" w:space="0" w:color="auto"/>
        <w:right w:val="none" w:sz="0" w:space="0" w:color="auto"/>
      </w:divBdr>
      <w:divsChild>
        <w:div w:id="931816767">
          <w:marLeft w:val="0"/>
          <w:marRight w:val="0"/>
          <w:marTop w:val="0"/>
          <w:marBottom w:val="0"/>
          <w:divBdr>
            <w:top w:val="none" w:sz="0" w:space="0" w:color="auto"/>
            <w:left w:val="none" w:sz="0" w:space="0" w:color="auto"/>
            <w:bottom w:val="none" w:sz="0" w:space="0" w:color="auto"/>
            <w:right w:val="none" w:sz="0" w:space="0" w:color="auto"/>
          </w:divBdr>
        </w:div>
      </w:divsChild>
    </w:div>
    <w:div w:id="1499542892">
      <w:bodyDiv w:val="1"/>
      <w:marLeft w:val="0"/>
      <w:marRight w:val="0"/>
      <w:marTop w:val="0"/>
      <w:marBottom w:val="0"/>
      <w:divBdr>
        <w:top w:val="none" w:sz="0" w:space="0" w:color="auto"/>
        <w:left w:val="none" w:sz="0" w:space="0" w:color="auto"/>
        <w:bottom w:val="none" w:sz="0" w:space="0" w:color="auto"/>
        <w:right w:val="none" w:sz="0" w:space="0" w:color="auto"/>
      </w:divBdr>
    </w:div>
    <w:div w:id="1733044265">
      <w:bodyDiv w:val="1"/>
      <w:marLeft w:val="0"/>
      <w:marRight w:val="0"/>
      <w:marTop w:val="0"/>
      <w:marBottom w:val="0"/>
      <w:divBdr>
        <w:top w:val="none" w:sz="0" w:space="0" w:color="auto"/>
        <w:left w:val="none" w:sz="0" w:space="0" w:color="auto"/>
        <w:bottom w:val="none" w:sz="0" w:space="0" w:color="auto"/>
        <w:right w:val="none" w:sz="0" w:space="0" w:color="auto"/>
      </w:divBdr>
    </w:div>
    <w:div w:id="1750925830">
      <w:bodyDiv w:val="1"/>
      <w:marLeft w:val="0"/>
      <w:marRight w:val="0"/>
      <w:marTop w:val="0"/>
      <w:marBottom w:val="0"/>
      <w:divBdr>
        <w:top w:val="none" w:sz="0" w:space="0" w:color="auto"/>
        <w:left w:val="none" w:sz="0" w:space="0" w:color="auto"/>
        <w:bottom w:val="none" w:sz="0" w:space="0" w:color="auto"/>
        <w:right w:val="none" w:sz="0" w:space="0" w:color="auto"/>
      </w:divBdr>
    </w:div>
    <w:div w:id="1803420015">
      <w:bodyDiv w:val="1"/>
      <w:marLeft w:val="0"/>
      <w:marRight w:val="0"/>
      <w:marTop w:val="0"/>
      <w:marBottom w:val="0"/>
      <w:divBdr>
        <w:top w:val="none" w:sz="0" w:space="0" w:color="auto"/>
        <w:left w:val="none" w:sz="0" w:space="0" w:color="auto"/>
        <w:bottom w:val="none" w:sz="0" w:space="0" w:color="auto"/>
        <w:right w:val="none" w:sz="0" w:space="0" w:color="auto"/>
      </w:divBdr>
    </w:div>
    <w:div w:id="1838576013">
      <w:bodyDiv w:val="1"/>
      <w:marLeft w:val="0"/>
      <w:marRight w:val="0"/>
      <w:marTop w:val="0"/>
      <w:marBottom w:val="0"/>
      <w:divBdr>
        <w:top w:val="none" w:sz="0" w:space="0" w:color="auto"/>
        <w:left w:val="none" w:sz="0" w:space="0" w:color="auto"/>
        <w:bottom w:val="none" w:sz="0" w:space="0" w:color="auto"/>
        <w:right w:val="none" w:sz="0" w:space="0" w:color="auto"/>
      </w:divBdr>
      <w:divsChild>
        <w:div w:id="163133247">
          <w:marLeft w:val="0"/>
          <w:marRight w:val="0"/>
          <w:marTop w:val="0"/>
          <w:marBottom w:val="0"/>
          <w:divBdr>
            <w:top w:val="none" w:sz="0" w:space="0" w:color="auto"/>
            <w:left w:val="none" w:sz="0" w:space="0" w:color="auto"/>
            <w:bottom w:val="none" w:sz="0" w:space="0" w:color="auto"/>
            <w:right w:val="none" w:sz="0" w:space="0" w:color="auto"/>
          </w:divBdr>
        </w:div>
        <w:div w:id="345405329">
          <w:marLeft w:val="0"/>
          <w:marRight w:val="0"/>
          <w:marTop w:val="0"/>
          <w:marBottom w:val="0"/>
          <w:divBdr>
            <w:top w:val="none" w:sz="0" w:space="0" w:color="auto"/>
            <w:left w:val="none" w:sz="0" w:space="0" w:color="auto"/>
            <w:bottom w:val="none" w:sz="0" w:space="0" w:color="auto"/>
            <w:right w:val="none" w:sz="0" w:space="0" w:color="auto"/>
          </w:divBdr>
        </w:div>
        <w:div w:id="424421744">
          <w:marLeft w:val="0"/>
          <w:marRight w:val="0"/>
          <w:marTop w:val="0"/>
          <w:marBottom w:val="0"/>
          <w:divBdr>
            <w:top w:val="none" w:sz="0" w:space="0" w:color="auto"/>
            <w:left w:val="none" w:sz="0" w:space="0" w:color="auto"/>
            <w:bottom w:val="none" w:sz="0" w:space="0" w:color="auto"/>
            <w:right w:val="none" w:sz="0" w:space="0" w:color="auto"/>
          </w:divBdr>
        </w:div>
        <w:div w:id="608467942">
          <w:marLeft w:val="0"/>
          <w:marRight w:val="0"/>
          <w:marTop w:val="0"/>
          <w:marBottom w:val="0"/>
          <w:divBdr>
            <w:top w:val="none" w:sz="0" w:space="0" w:color="auto"/>
            <w:left w:val="none" w:sz="0" w:space="0" w:color="auto"/>
            <w:bottom w:val="none" w:sz="0" w:space="0" w:color="auto"/>
            <w:right w:val="none" w:sz="0" w:space="0" w:color="auto"/>
          </w:divBdr>
        </w:div>
        <w:div w:id="760757077">
          <w:marLeft w:val="0"/>
          <w:marRight w:val="0"/>
          <w:marTop w:val="0"/>
          <w:marBottom w:val="0"/>
          <w:divBdr>
            <w:top w:val="none" w:sz="0" w:space="0" w:color="auto"/>
            <w:left w:val="none" w:sz="0" w:space="0" w:color="auto"/>
            <w:bottom w:val="none" w:sz="0" w:space="0" w:color="auto"/>
            <w:right w:val="none" w:sz="0" w:space="0" w:color="auto"/>
          </w:divBdr>
        </w:div>
        <w:div w:id="860900921">
          <w:marLeft w:val="0"/>
          <w:marRight w:val="0"/>
          <w:marTop w:val="0"/>
          <w:marBottom w:val="0"/>
          <w:divBdr>
            <w:top w:val="none" w:sz="0" w:space="0" w:color="auto"/>
            <w:left w:val="none" w:sz="0" w:space="0" w:color="auto"/>
            <w:bottom w:val="none" w:sz="0" w:space="0" w:color="auto"/>
            <w:right w:val="none" w:sz="0" w:space="0" w:color="auto"/>
          </w:divBdr>
        </w:div>
        <w:div w:id="964970251">
          <w:marLeft w:val="0"/>
          <w:marRight w:val="0"/>
          <w:marTop w:val="0"/>
          <w:marBottom w:val="0"/>
          <w:divBdr>
            <w:top w:val="none" w:sz="0" w:space="0" w:color="auto"/>
            <w:left w:val="none" w:sz="0" w:space="0" w:color="auto"/>
            <w:bottom w:val="none" w:sz="0" w:space="0" w:color="auto"/>
            <w:right w:val="none" w:sz="0" w:space="0" w:color="auto"/>
          </w:divBdr>
        </w:div>
        <w:div w:id="1074817603">
          <w:marLeft w:val="0"/>
          <w:marRight w:val="0"/>
          <w:marTop w:val="0"/>
          <w:marBottom w:val="0"/>
          <w:divBdr>
            <w:top w:val="none" w:sz="0" w:space="0" w:color="auto"/>
            <w:left w:val="none" w:sz="0" w:space="0" w:color="auto"/>
            <w:bottom w:val="none" w:sz="0" w:space="0" w:color="auto"/>
            <w:right w:val="none" w:sz="0" w:space="0" w:color="auto"/>
          </w:divBdr>
        </w:div>
        <w:div w:id="1450471442">
          <w:marLeft w:val="0"/>
          <w:marRight w:val="0"/>
          <w:marTop w:val="0"/>
          <w:marBottom w:val="0"/>
          <w:divBdr>
            <w:top w:val="none" w:sz="0" w:space="0" w:color="auto"/>
            <w:left w:val="none" w:sz="0" w:space="0" w:color="auto"/>
            <w:bottom w:val="none" w:sz="0" w:space="0" w:color="auto"/>
            <w:right w:val="none" w:sz="0" w:space="0" w:color="auto"/>
          </w:divBdr>
        </w:div>
      </w:divsChild>
    </w:div>
    <w:div w:id="1939024009">
      <w:bodyDiv w:val="1"/>
      <w:marLeft w:val="0"/>
      <w:marRight w:val="0"/>
      <w:marTop w:val="0"/>
      <w:marBottom w:val="0"/>
      <w:divBdr>
        <w:top w:val="none" w:sz="0" w:space="0" w:color="auto"/>
        <w:left w:val="none" w:sz="0" w:space="0" w:color="auto"/>
        <w:bottom w:val="none" w:sz="0" w:space="0" w:color="auto"/>
        <w:right w:val="none" w:sz="0" w:space="0" w:color="auto"/>
      </w:divBdr>
    </w:div>
    <w:div w:id="2059431320">
      <w:bodyDiv w:val="1"/>
      <w:marLeft w:val="0"/>
      <w:marRight w:val="0"/>
      <w:marTop w:val="0"/>
      <w:marBottom w:val="0"/>
      <w:divBdr>
        <w:top w:val="none" w:sz="0" w:space="0" w:color="auto"/>
        <w:left w:val="none" w:sz="0" w:space="0" w:color="auto"/>
        <w:bottom w:val="none" w:sz="0" w:space="0" w:color="auto"/>
        <w:right w:val="none" w:sz="0" w:space="0" w:color="auto"/>
      </w:divBdr>
      <w:divsChild>
        <w:div w:id="189146982">
          <w:marLeft w:val="0"/>
          <w:marRight w:val="0"/>
          <w:marTop w:val="0"/>
          <w:marBottom w:val="0"/>
          <w:divBdr>
            <w:top w:val="none" w:sz="0" w:space="0" w:color="auto"/>
            <w:left w:val="none" w:sz="0" w:space="0" w:color="auto"/>
            <w:bottom w:val="none" w:sz="0" w:space="0" w:color="auto"/>
            <w:right w:val="none" w:sz="0" w:space="0" w:color="auto"/>
          </w:divBdr>
        </w:div>
        <w:div w:id="294525947">
          <w:marLeft w:val="0"/>
          <w:marRight w:val="0"/>
          <w:marTop w:val="0"/>
          <w:marBottom w:val="0"/>
          <w:divBdr>
            <w:top w:val="none" w:sz="0" w:space="0" w:color="auto"/>
            <w:left w:val="none" w:sz="0" w:space="0" w:color="auto"/>
            <w:bottom w:val="none" w:sz="0" w:space="0" w:color="auto"/>
            <w:right w:val="none" w:sz="0" w:space="0" w:color="auto"/>
          </w:divBdr>
        </w:div>
        <w:div w:id="466319192">
          <w:marLeft w:val="0"/>
          <w:marRight w:val="0"/>
          <w:marTop w:val="0"/>
          <w:marBottom w:val="0"/>
          <w:divBdr>
            <w:top w:val="none" w:sz="0" w:space="0" w:color="auto"/>
            <w:left w:val="none" w:sz="0" w:space="0" w:color="auto"/>
            <w:bottom w:val="none" w:sz="0" w:space="0" w:color="auto"/>
            <w:right w:val="none" w:sz="0" w:space="0" w:color="auto"/>
          </w:divBdr>
        </w:div>
        <w:div w:id="648941874">
          <w:marLeft w:val="0"/>
          <w:marRight w:val="0"/>
          <w:marTop w:val="0"/>
          <w:marBottom w:val="0"/>
          <w:divBdr>
            <w:top w:val="none" w:sz="0" w:space="0" w:color="auto"/>
            <w:left w:val="none" w:sz="0" w:space="0" w:color="auto"/>
            <w:bottom w:val="none" w:sz="0" w:space="0" w:color="auto"/>
            <w:right w:val="none" w:sz="0" w:space="0" w:color="auto"/>
          </w:divBdr>
        </w:div>
        <w:div w:id="855730616">
          <w:marLeft w:val="0"/>
          <w:marRight w:val="0"/>
          <w:marTop w:val="0"/>
          <w:marBottom w:val="0"/>
          <w:divBdr>
            <w:top w:val="none" w:sz="0" w:space="0" w:color="auto"/>
            <w:left w:val="none" w:sz="0" w:space="0" w:color="auto"/>
            <w:bottom w:val="none" w:sz="0" w:space="0" w:color="auto"/>
            <w:right w:val="none" w:sz="0" w:space="0" w:color="auto"/>
          </w:divBdr>
        </w:div>
        <w:div w:id="974024210">
          <w:marLeft w:val="0"/>
          <w:marRight w:val="0"/>
          <w:marTop w:val="0"/>
          <w:marBottom w:val="0"/>
          <w:divBdr>
            <w:top w:val="none" w:sz="0" w:space="0" w:color="auto"/>
            <w:left w:val="none" w:sz="0" w:space="0" w:color="auto"/>
            <w:bottom w:val="none" w:sz="0" w:space="0" w:color="auto"/>
            <w:right w:val="none" w:sz="0" w:space="0" w:color="auto"/>
          </w:divBdr>
        </w:div>
        <w:div w:id="1139037794">
          <w:marLeft w:val="0"/>
          <w:marRight w:val="0"/>
          <w:marTop w:val="0"/>
          <w:marBottom w:val="0"/>
          <w:divBdr>
            <w:top w:val="none" w:sz="0" w:space="0" w:color="auto"/>
            <w:left w:val="none" w:sz="0" w:space="0" w:color="auto"/>
            <w:bottom w:val="none" w:sz="0" w:space="0" w:color="auto"/>
            <w:right w:val="none" w:sz="0" w:space="0" w:color="auto"/>
          </w:divBdr>
        </w:div>
        <w:div w:id="1509368357">
          <w:marLeft w:val="0"/>
          <w:marRight w:val="0"/>
          <w:marTop w:val="0"/>
          <w:marBottom w:val="0"/>
          <w:divBdr>
            <w:top w:val="none" w:sz="0" w:space="0" w:color="auto"/>
            <w:left w:val="none" w:sz="0" w:space="0" w:color="auto"/>
            <w:bottom w:val="none" w:sz="0" w:space="0" w:color="auto"/>
            <w:right w:val="none" w:sz="0" w:space="0" w:color="auto"/>
          </w:divBdr>
        </w:div>
        <w:div w:id="2097247325">
          <w:marLeft w:val="0"/>
          <w:marRight w:val="0"/>
          <w:marTop w:val="0"/>
          <w:marBottom w:val="0"/>
          <w:divBdr>
            <w:top w:val="none" w:sz="0" w:space="0" w:color="auto"/>
            <w:left w:val="none" w:sz="0" w:space="0" w:color="auto"/>
            <w:bottom w:val="none" w:sz="0" w:space="0" w:color="auto"/>
            <w:right w:val="none" w:sz="0" w:space="0" w:color="auto"/>
          </w:divBdr>
        </w:div>
      </w:divsChild>
    </w:div>
    <w:div w:id="2072190998">
      <w:bodyDiv w:val="1"/>
      <w:marLeft w:val="0"/>
      <w:marRight w:val="0"/>
      <w:marTop w:val="0"/>
      <w:marBottom w:val="0"/>
      <w:divBdr>
        <w:top w:val="none" w:sz="0" w:space="0" w:color="auto"/>
        <w:left w:val="none" w:sz="0" w:space="0" w:color="auto"/>
        <w:bottom w:val="none" w:sz="0" w:space="0" w:color="auto"/>
        <w:right w:val="none" w:sz="0" w:space="0" w:color="auto"/>
      </w:divBdr>
    </w:div>
    <w:div w:id="2123263080">
      <w:bodyDiv w:val="1"/>
      <w:marLeft w:val="0"/>
      <w:marRight w:val="0"/>
      <w:marTop w:val="0"/>
      <w:marBottom w:val="0"/>
      <w:divBdr>
        <w:top w:val="none" w:sz="0" w:space="0" w:color="auto"/>
        <w:left w:val="none" w:sz="0" w:space="0" w:color="auto"/>
        <w:bottom w:val="none" w:sz="0" w:space="0" w:color="auto"/>
        <w:right w:val="none" w:sz="0" w:space="0" w:color="auto"/>
      </w:divBdr>
      <w:divsChild>
        <w:div w:id="155851142">
          <w:marLeft w:val="0"/>
          <w:marRight w:val="0"/>
          <w:marTop w:val="0"/>
          <w:marBottom w:val="0"/>
          <w:divBdr>
            <w:top w:val="none" w:sz="0" w:space="0" w:color="auto"/>
            <w:left w:val="none" w:sz="0" w:space="0" w:color="auto"/>
            <w:bottom w:val="none" w:sz="0" w:space="0" w:color="auto"/>
            <w:right w:val="none" w:sz="0" w:space="0" w:color="auto"/>
          </w:divBdr>
        </w:div>
        <w:div w:id="451872408">
          <w:marLeft w:val="0"/>
          <w:marRight w:val="0"/>
          <w:marTop w:val="0"/>
          <w:marBottom w:val="0"/>
          <w:divBdr>
            <w:top w:val="none" w:sz="0" w:space="0" w:color="auto"/>
            <w:left w:val="none" w:sz="0" w:space="0" w:color="auto"/>
            <w:bottom w:val="none" w:sz="0" w:space="0" w:color="auto"/>
            <w:right w:val="none" w:sz="0" w:space="0" w:color="auto"/>
          </w:divBdr>
        </w:div>
        <w:div w:id="664012536">
          <w:marLeft w:val="0"/>
          <w:marRight w:val="0"/>
          <w:marTop w:val="0"/>
          <w:marBottom w:val="0"/>
          <w:divBdr>
            <w:top w:val="none" w:sz="0" w:space="0" w:color="auto"/>
            <w:left w:val="none" w:sz="0" w:space="0" w:color="auto"/>
            <w:bottom w:val="none" w:sz="0" w:space="0" w:color="auto"/>
            <w:right w:val="none" w:sz="0" w:space="0" w:color="auto"/>
          </w:divBdr>
        </w:div>
        <w:div w:id="1011222251">
          <w:marLeft w:val="0"/>
          <w:marRight w:val="0"/>
          <w:marTop w:val="0"/>
          <w:marBottom w:val="0"/>
          <w:divBdr>
            <w:top w:val="none" w:sz="0" w:space="0" w:color="auto"/>
            <w:left w:val="none" w:sz="0" w:space="0" w:color="auto"/>
            <w:bottom w:val="none" w:sz="0" w:space="0" w:color="auto"/>
            <w:right w:val="none" w:sz="0" w:space="0" w:color="auto"/>
          </w:divBdr>
        </w:div>
        <w:div w:id="1014916945">
          <w:marLeft w:val="0"/>
          <w:marRight w:val="0"/>
          <w:marTop w:val="0"/>
          <w:marBottom w:val="0"/>
          <w:divBdr>
            <w:top w:val="none" w:sz="0" w:space="0" w:color="auto"/>
            <w:left w:val="none" w:sz="0" w:space="0" w:color="auto"/>
            <w:bottom w:val="none" w:sz="0" w:space="0" w:color="auto"/>
            <w:right w:val="none" w:sz="0" w:space="0" w:color="auto"/>
          </w:divBdr>
        </w:div>
        <w:div w:id="1287195408">
          <w:marLeft w:val="0"/>
          <w:marRight w:val="0"/>
          <w:marTop w:val="0"/>
          <w:marBottom w:val="0"/>
          <w:divBdr>
            <w:top w:val="none" w:sz="0" w:space="0" w:color="auto"/>
            <w:left w:val="none" w:sz="0" w:space="0" w:color="auto"/>
            <w:bottom w:val="none" w:sz="0" w:space="0" w:color="auto"/>
            <w:right w:val="none" w:sz="0" w:space="0" w:color="auto"/>
          </w:divBdr>
        </w:div>
        <w:div w:id="1660041074">
          <w:marLeft w:val="0"/>
          <w:marRight w:val="0"/>
          <w:marTop w:val="0"/>
          <w:marBottom w:val="0"/>
          <w:divBdr>
            <w:top w:val="none" w:sz="0" w:space="0" w:color="auto"/>
            <w:left w:val="none" w:sz="0" w:space="0" w:color="auto"/>
            <w:bottom w:val="none" w:sz="0" w:space="0" w:color="auto"/>
            <w:right w:val="none" w:sz="0" w:space="0" w:color="auto"/>
          </w:divBdr>
        </w:div>
        <w:div w:id="1768841772">
          <w:marLeft w:val="0"/>
          <w:marRight w:val="0"/>
          <w:marTop w:val="0"/>
          <w:marBottom w:val="0"/>
          <w:divBdr>
            <w:top w:val="none" w:sz="0" w:space="0" w:color="auto"/>
            <w:left w:val="none" w:sz="0" w:space="0" w:color="auto"/>
            <w:bottom w:val="none" w:sz="0" w:space="0" w:color="auto"/>
            <w:right w:val="none" w:sz="0" w:space="0" w:color="auto"/>
          </w:divBdr>
        </w:div>
        <w:div w:id="17999524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EscaSite" Type="http://schemas.openxmlformats.org/officeDocument/2006/relationships/hyperlink" Target="https://escabattery.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3cb87fdc-40a4-4f7b-bbdb-9ef73bf1e0d7" xsi:nil="true"/>
    <lcf76f155ced4ddcb4097134ff3c332f xmlns="3bd1d7ba-239a-426a-90ae-036edb1fe0b6">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B2274E253703847B596DC8DF46F76F2" ma:contentTypeVersion="14" ma:contentTypeDescription="Create a new document." ma:contentTypeScope="" ma:versionID="7001ef9ec59626b05c72998f31f67269">
  <xsd:schema xmlns:xsd="http://www.w3.org/2001/XMLSchema" xmlns:xs="http://www.w3.org/2001/XMLSchema" xmlns:p="http://schemas.microsoft.com/office/2006/metadata/properties" xmlns:ns2="3bd1d7ba-239a-426a-90ae-036edb1fe0b6" xmlns:ns3="3cb87fdc-40a4-4f7b-bbdb-9ef73bf1e0d7" targetNamespace="http://schemas.microsoft.com/office/2006/metadata/properties" ma:root="true" ma:fieldsID="65be182a3fbf69c1814c2dc2013219d3" ns2:_="" ns3:_="">
    <xsd:import namespace="3bd1d7ba-239a-426a-90ae-036edb1fe0b6"/>
    <xsd:import namespace="3cb87fdc-40a4-4f7b-bbdb-9ef73bf1e0d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d1d7ba-239a-426a-90ae-036edb1fe0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c572f68-d4ad-4a7c-b335-4645cad7780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b87fdc-40a4-4f7b-bbdb-9ef73bf1e0d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d4c1898-3015-47db-8683-5e19b6672e75}" ma:internalName="TaxCatchAll" ma:showField="CatchAllData" ma:web="3cb87fdc-40a4-4f7b-bbdb-9ef73bf1e0d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E24ED0-D947-44D5-8360-06035B00D6F4}">
  <ds:schemaRefs>
    <ds:schemaRef ds:uri="http://schemas.microsoft.com/sharepoint/v3/contenttype/forms"/>
  </ds:schemaRefs>
</ds:datastoreItem>
</file>

<file path=customXml/itemProps2.xml><?xml version="1.0" encoding="utf-8"?>
<ds:datastoreItem xmlns:ds="http://schemas.openxmlformats.org/officeDocument/2006/customXml" ds:itemID="{B8A95A06-3547-4B53-A817-FBDDBE4EBD5B}">
  <ds:schemaRefs>
    <ds:schemaRef ds:uri="http://schemas.microsoft.com/office/2006/metadata/properties"/>
    <ds:schemaRef ds:uri="http://schemas.microsoft.com/office/infopath/2007/PartnerControls"/>
    <ds:schemaRef ds:uri="3cb87fdc-40a4-4f7b-bbdb-9ef73bf1e0d7"/>
    <ds:schemaRef ds:uri="3bd1d7ba-239a-426a-90ae-036edb1fe0b6"/>
  </ds:schemaRefs>
</ds:datastoreItem>
</file>

<file path=customXml/itemProps3.xml><?xml version="1.0" encoding="utf-8"?>
<ds:datastoreItem xmlns:ds="http://schemas.openxmlformats.org/officeDocument/2006/customXml" ds:itemID="{DD6E0CF6-90D1-458A-8394-7D7C200D57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d1d7ba-239a-426a-90ae-036edb1fe0b6"/>
    <ds:schemaRef ds:uri="3cb87fdc-40a4-4f7b-bbdb-9ef73bf1e0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B0E0A17-0985-4F4E-861C-B905FA89D1DC}">
  <ds:schemaRefs>
    <ds:schemaRef ds:uri="http://schemas.openxmlformats.org/officeDocument/2006/bibliography"/>
  </ds:schemaRefs>
</ds:datastoreItem>
</file>

<file path=docMetadata/LabelInfo.xml><?xml version="1.0" encoding="utf-8"?>
<clbl:labelList xmlns:clbl="http://schemas.microsoft.com/office/2020/mipLabelMetadata">
  <clbl:label id="{2d92a9f4-86d3-4ffe-9431-b8ebd6687e36}" enabled="0" method="" siteId="{2d92a9f4-86d3-4ffe-9431-b8ebd6687e36}" removed="1"/>
</clbl:labelList>
</file>

<file path=docProps/app.xml><?xml version="1.0" encoding="utf-8"?>
<Properties xmlns="http://schemas.openxmlformats.org/officeDocument/2006/extended-properties" xmlns:vt="http://schemas.openxmlformats.org/officeDocument/2006/docPropsVTypes">
  <Template>Normal.dotm</Template>
  <TotalTime>7</TotalTime>
  <Pages>91</Pages>
  <Words>41183</Words>
  <Characters>228980</Characters>
  <Application>Microsoft Office Word</Application>
  <DocSecurity>0</DocSecurity>
  <Lines>3816</Lines>
  <Paragraphs>1414</Paragraphs>
  <ScaleCrop>false</ScaleCrop>
  <Company>Formfactor,Inc.</Company>
  <LinksUpToDate>false</LinksUpToDate>
  <CharactersWithSpaces>268749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TERMS AND CONDITIONS OF PURCHASE ORDER</dc:title>
  <dc:subject/>
  <dc:creator>pcrowder</dc:creator>
  <cp:keywords/>
  <cp:lastModifiedBy>Arthur | Sinovoltaics</cp:lastModifiedBy>
  <cp:revision>2</cp:revision>
  <cp:lastPrinted>2014-12-30T19:21:00Z</cp:lastPrinted>
  <dcterms:created xsi:type="dcterms:W3CDTF">2026-10-09T18:50:00Z</dcterms:created>
  <dcterms:modified xsi:type="dcterms:W3CDTF">2026-10-09T18:50:00Z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0x010100EB2274E253703847B596DC8DF46F76F2</vt:lpwstr>
  </property>
  <property fmtid="{D5CDD505-2E9C-101B-9397-08002B2CF9AE}" pid="3" name="MediaServiceImageTags">
    <vt:lpwstr/>
  </property>
  <property fmtid="{D5CDD505-2E9C-101B-9397-08002B2CF9AE}" pid="4" name="Order">
    <vt:r8>735500</vt:r8>
  </property>
  <property fmtid="{D5CDD505-2E9C-101B-9397-08002B2CF9AE}" pid="5" name="xd_Signature">
    <vt:bool>false</vt:bool>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y fmtid="{D5CDD505-2E9C-101B-9397-08002B2CF9AE}" pid="13" name="docLang">
    <vt:lpwstr>en</vt:lpwstr>
  </property>
</Properties>
</file>